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media/image5.webp" ContentType="image/webp"/>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楷体" w:hAnsi="楷体" w:eastAsia="楷体" w:cs="楷体"/>
          <w:b/>
          <w:sz w:val="96"/>
          <w:szCs w:val="96"/>
        </w:rPr>
      </w:pPr>
      <w:r>
        <w:rPr>
          <w:rFonts w:hint="eastAsia" w:ascii="楷体" w:hAnsi="楷体" w:eastAsia="楷体" w:cs="楷体"/>
          <w:b/>
          <w:color w:val="FF0000"/>
          <w:spacing w:val="120"/>
          <w:sz w:val="96"/>
          <w:szCs w:val="96"/>
        </w:rPr>
        <w:t>苏州日化</w:t>
      </w:r>
    </w:p>
    <w:p>
      <w:pPr>
        <w:spacing w:line="320" w:lineRule="exact"/>
        <w:ind w:firstLine="140" w:firstLineChars="5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lang w:val="en-US" w:eastAsia="zh-CN"/>
        </w:rPr>
        <w:t>24</w:t>
      </w:r>
      <w:r>
        <w:rPr>
          <w:rFonts w:hint="eastAsia" w:asciiTheme="minorEastAsia" w:hAnsiTheme="minorEastAsia" w:eastAsiaTheme="minorEastAsia" w:cstheme="minorEastAsia"/>
          <w:sz w:val="28"/>
          <w:szCs w:val="28"/>
        </w:rPr>
        <w:t>年第</w:t>
      </w:r>
      <w:r>
        <w:rPr>
          <w:rFonts w:hint="eastAsia" w:asciiTheme="minorEastAsia" w:hAnsiTheme="minorEastAsia" w:eastAsiaTheme="minorEastAsia" w:cstheme="minorEastAsia"/>
          <w:sz w:val="28"/>
          <w:szCs w:val="28"/>
          <w:lang w:val="en-US" w:eastAsia="zh-CN"/>
        </w:rPr>
        <w:t>9</w:t>
      </w:r>
      <w:r>
        <w:rPr>
          <w:rFonts w:hint="eastAsia" w:asciiTheme="minorEastAsia" w:hAnsiTheme="minorEastAsia" w:eastAsiaTheme="minorEastAsia" w:cstheme="minorEastAsia"/>
          <w:sz w:val="28"/>
          <w:szCs w:val="28"/>
        </w:rPr>
        <w:t>期 总第</w:t>
      </w:r>
      <w:r>
        <w:rPr>
          <w:rFonts w:hint="eastAsia" w:asciiTheme="minorEastAsia" w:hAnsiTheme="minorEastAsia" w:eastAsiaTheme="minorEastAsia" w:cstheme="minorEastAsia"/>
          <w:sz w:val="28"/>
          <w:szCs w:val="28"/>
          <w:lang w:val="en-US" w:eastAsia="zh-CN"/>
        </w:rPr>
        <w:t>223</w:t>
      </w:r>
      <w:r>
        <w:rPr>
          <w:rFonts w:hint="eastAsia" w:asciiTheme="minorEastAsia" w:hAnsiTheme="minorEastAsia" w:eastAsiaTheme="minorEastAsia" w:cstheme="minorEastAsia"/>
          <w:sz w:val="28"/>
          <w:szCs w:val="28"/>
        </w:rPr>
        <w:t>期</w:t>
      </w:r>
    </w:p>
    <w:p>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lang w:val="en-US" w:eastAsia="zh-CN"/>
        </w:rPr>
        <w:t>24</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lang w:val="en-US" w:eastAsia="zh-CN"/>
        </w:rPr>
        <w:t>9</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18</w:t>
      </w:r>
      <w:r>
        <w:rPr>
          <w:rFonts w:hint="eastAsia" w:asciiTheme="minorEastAsia" w:hAnsiTheme="minorEastAsia" w:eastAsiaTheme="minorEastAsia" w:cstheme="minorEastAsia"/>
          <w:sz w:val="28"/>
          <w:szCs w:val="28"/>
        </w:rPr>
        <w:t>日</w:t>
      </w:r>
    </w:p>
    <w:p>
      <w:pPr>
        <w:keepNext w:val="0"/>
        <w:keepLines w:val="0"/>
        <w:pageBreakBefore w:val="0"/>
        <w:widowControl w:val="0"/>
        <w:kinsoku/>
        <w:wordWrap/>
        <w:overflowPunct/>
        <w:topLinePunct w:val="0"/>
        <w:autoSpaceDE/>
        <w:autoSpaceDN/>
        <w:bidi w:val="0"/>
        <w:adjustRightInd/>
        <w:snapToGrid/>
        <w:spacing w:beforeLines="50" w:line="320" w:lineRule="exact"/>
        <w:ind w:left="0" w:leftChars="0" w:right="0" w:rightChars="0" w:firstLine="120" w:firstLineChars="5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苏州市日用化学品行业协会            地址：苏州市东大街284号709室</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120" w:firstLineChars="5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网址：www.szdca.org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E-mail：szdcaok@163.com</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120" w:firstLineChars="5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电话：0512－65244077  65222949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邮编：215002</w:t>
      </w:r>
    </w:p>
    <w:p>
      <w:pPr>
        <w:numPr>
          <w:ilvl w:val="0"/>
          <w:numId w:val="0"/>
        </w:numPr>
        <w:ind w:leftChars="0"/>
        <w:rPr>
          <w:rFonts w:hint="eastAsia" w:asciiTheme="minorEastAsia" w:hAnsiTheme="minorEastAsia" w:eastAsiaTheme="minorEastAsia" w:cstheme="minorEastAsia"/>
        </w:rPr>
      </w:pPr>
      <w:bookmarkStart w:id="0" w:name="_GoBack"/>
      <w:r>
        <w:rPr>
          <w:rFonts w:hint="eastAsia"/>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119380</wp:posOffset>
                </wp:positionV>
                <wp:extent cx="5189855" cy="4445"/>
                <wp:effectExtent l="0" t="0" r="0" b="0"/>
                <wp:wrapNone/>
                <wp:docPr id="9" name="Line 228"/>
                <wp:cNvGraphicFramePr/>
                <a:graphic xmlns:a="http://schemas.openxmlformats.org/drawingml/2006/main">
                  <a:graphicData uri="http://schemas.microsoft.com/office/word/2010/wordprocessingShape">
                    <wps:wsp>
                      <wps:cNvCnPr/>
                      <wps:spPr>
                        <a:xfrm flipV="1">
                          <a:off x="0" y="0"/>
                          <a:ext cx="5189855" cy="4445"/>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Line 228" o:spid="_x0000_s1026" o:spt="20" style="position:absolute;left:0pt;flip:y;margin-left:0pt;margin-top:9.4pt;height:0.35pt;width:408.65pt;z-index:251661312;mso-width-relative:page;mso-height-relative:page;" filled="f" stroked="t" coordsize="21600,21600" o:gfxdata="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Oc8sVjX&#10;AAAABgEAAA8AAAAAAAAAAQAgAAAAIgAAAGRycy9kb3ducmV2LnhtbFBLAQIUABQAAAAIAIdO4kC1&#10;+7CK6AEAAOkDAAAOAAAAAAAAAAEAIAAAACYBAABkcnMvZTJvRG9jLnhtbFBLBQYAAAAABgAGAFkB&#10;AACABQAAAAA=&#10;">
                <v:fill on="f" focussize="0,0"/>
                <v:stroke weight="2.25pt" color="#FF0000" joinstyle="round"/>
                <v:imagedata o:title=""/>
                <o:lock v:ext="edit" aspectratio="f"/>
              </v:line>
            </w:pict>
          </mc:Fallback>
        </mc:AlternateContent>
      </w:r>
      <w:bookmarkEnd w:id="0"/>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2023年国家化妆品抽样检验年报</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ind w:left="420" w:leftChars="0" w:hanging="420" w:firstLineChars="0"/>
        <w:textAlignment w:val="auto"/>
        <w:rPr>
          <w:rFonts w:hint="eastAsia" w:asciiTheme="minorEastAsia" w:hAnsiTheme="minorEastAsia" w:eastAsiaTheme="minorEastAsia" w:cstheme="minorEastAsia"/>
          <w:spacing w:val="-6"/>
          <w:sz w:val="24"/>
        </w:rPr>
      </w:pPr>
      <w:r>
        <w:rPr>
          <w:rFonts w:hint="eastAsia" w:asciiTheme="minorEastAsia" w:hAnsiTheme="minorEastAsia" w:eastAsiaTheme="minorEastAsia" w:cstheme="minorEastAsia"/>
          <w:spacing w:val="-6"/>
          <w:sz w:val="24"/>
        </w:rPr>
        <w:t>国家药监局综合司关于印发化妆品标准制修订工作程序规定（试行）的通知</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市场监管总局关于印发《市场监管部门优化营商环境重点举措（2024年版）》的通知</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"javascript:void(0);"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江苏省药监局审评中心</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2024年9月1日起如何落实化妆品注册备案资料电子化</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"javascript:void(0);"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江苏省药监局审评中心</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普通化妆品备案常见问题分析（2024第29期 产品检验报告—检验报告信息）</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"javascript:void(0);"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江苏省药监局审评中心</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rPr>
        <w:t>普通化妆品备案常见问题分析（2024第30期 产品安全评估资料—配方中各成分的安全评估）</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北京市化妆品审评检查中心关于普通化妆品备案常见问题一问一答（第三十六期）（完整安评入门篇）</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ind w:left="420" w:leftChars="0" w:hanging="420" w:firstLineChars="0"/>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广州市市场监督管理局普通化妆品备案问答（六十六期）</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ind w:left="420" w:leftChars="0" w:hanging="420" w:firstLineChars="0"/>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跨国交流，共谋发展——协会赴日考察，探索日本化妆品行业发展之道</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ind w:left="420" w:leftChars="0" w:hanging="420" w:firstLineChars="0"/>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江苏日化协会团标《油凝胶》</w:t>
      </w:r>
      <w:r>
        <w:rPr>
          <w:rFonts w:hint="eastAsia" w:asciiTheme="minorEastAsia" w:hAnsiTheme="minorEastAsia" w:eastAsiaTheme="minorEastAsia" w:cstheme="minorEastAsia"/>
          <w:lang w:val="en-US" w:eastAsia="zh-CN"/>
        </w:rPr>
        <w:t>专家</w:t>
      </w:r>
      <w:r>
        <w:rPr>
          <w:rFonts w:hint="eastAsia" w:asciiTheme="minorEastAsia" w:hAnsiTheme="minorEastAsia" w:eastAsiaTheme="minorEastAsia" w:cstheme="minorEastAsia"/>
          <w:lang w:eastAsia="zh-CN"/>
        </w:rPr>
        <w:t>评审</w:t>
      </w:r>
      <w:r>
        <w:rPr>
          <w:rFonts w:hint="eastAsia" w:asciiTheme="minorEastAsia" w:hAnsiTheme="minorEastAsia" w:eastAsiaTheme="minorEastAsia" w:cstheme="minorEastAsia"/>
          <w:lang w:val="en-US" w:eastAsia="zh-CN"/>
        </w:rPr>
        <w:t>会议成功召开</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ind w:left="420" w:leftChars="0" w:hanging="420" w:firstLineChars="0"/>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关</w:t>
      </w:r>
      <w:r>
        <w:rPr>
          <w:rFonts w:hint="eastAsia" w:asciiTheme="minorEastAsia" w:hAnsiTheme="minorEastAsia" w:eastAsiaTheme="minorEastAsia" w:cstheme="minorEastAsia"/>
          <w:lang w:val="en-US" w:eastAsia="zh-CN"/>
        </w:rPr>
        <w:t>于组织参加</w:t>
      </w:r>
      <w:r>
        <w:rPr>
          <w:rFonts w:hint="eastAsia" w:asciiTheme="minorEastAsia" w:hAnsiTheme="minorEastAsia" w:eastAsiaTheme="minorEastAsia" w:cstheme="minorEastAsia"/>
          <w:lang w:eastAsia="zh-CN"/>
        </w:rPr>
        <w:t>2024中国香料香精化妆品行业年会暨产业博览会的通知</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ind w:left="420" w:leftChars="0" w:hanging="420" w:firstLineChars="0"/>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关于召开第十次会员大会暨第五届国际口腔护理学术研讨会的通知</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关于召开“中国日用化工行业年会（2024）”的通知（第一轮）</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非常重要！化妆品标签中防腐剂标注有规可循，千万别被误导了！</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ind w:left="420" w:leftChars="0" w:hanging="420" w:firstLineChars="0"/>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中国化妆品行业2024年上半年的主要数据</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ind w:left="420" w:leftChars="0" w:hanging="420" w:firstLineChars="0"/>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江西成立美妆协会促化妆品行业发展</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这个计划开100年的会议，迎来了它的十年辉煌</w:t>
      </w:r>
    </w:p>
    <w:p>
      <w:pPr>
        <w:keepNext w:val="0"/>
        <w:keepLines w:val="0"/>
        <w:pageBreakBefore w:val="0"/>
        <w:widowControl w:val="0"/>
        <w:numPr>
          <w:ilvl w:val="0"/>
          <w:numId w:val="1"/>
        </w:numPr>
        <w:kinsoku/>
        <w:wordWrap/>
        <w:overflowPunct/>
        <w:topLinePunct w:val="0"/>
        <w:autoSpaceDE/>
        <w:autoSpaceDN/>
        <w:bidi w:val="0"/>
        <w:adjustRightInd/>
        <w:snapToGrid/>
        <w:spacing w:line="3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徐建成1对1帮扶助学已完成本年度捐助</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2023年国家化妆品抽样检验年报</w:t>
      </w:r>
    </w:p>
    <w:p>
      <w:pP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化妆品抽样检验是化妆品上市后监管的重要手段，遵循科学、规范、合法、公正的原则，对及时发现化妆品安全风险、依法打击化妆品违法行为具有重要作用。2023年，国家药监局以习近平新时代中国特色社会主义思想为指导，落实“四个最严”的要求，依据《化妆品监督管理条例》等法律法规，坚持“全国一盘棋”理念，组织在全国范围内开展国家化妆品抽样检验工作，旨在规范化妆品生产经营行为，保障公众用妆安全。</w:t>
      </w:r>
    </w:p>
    <w:p>
      <w:pP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一、总体情况</w:t>
      </w:r>
    </w:p>
    <w:p>
      <w:pP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全国药品监督管理部门坚持问题导向、聚焦监管关切，以问题多发的品种、场所以及近年来抽检不符合规定的产品涉及的企业为重点对象，组织对染发类、祛斑美白类、彩妆类、防晒类、儿童类、宣称祛痘类等12类化妆品开展抽检，共抽检20936批次产品。经33家化妆品检验机构依据《化妆品安全技术规范》（2015年版）等检验，其中20388批次产品符合规定，占比97.38%。对抽检不符合规定产品涉及的化妆品生产经营者，各省（区、市）药品监督管理部门依法组织调查，发现违法行为的，严肃查处；涉嫌犯罪的，依法移送公安机关。</w:t>
      </w:r>
    </w:p>
    <w:p>
      <w:pP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二、抽样情况</w:t>
      </w:r>
      <w:r>
        <w:rPr>
          <w:rFonts w:hint="eastAsia" w:asciiTheme="minorEastAsia" w:hAnsiTheme="minorEastAsia" w:eastAsiaTheme="minorEastAsia" w:cstheme="minorEastAsia"/>
          <w:lang w:eastAsia="zh-CN"/>
        </w:rPr>
        <w:t>（图略，查询网址：www.nmpa.gov.cn）</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各省（区、市）化妆品抽样批次数量分布情况。抽样主要采用现场抽样和网络抽样两种方式进行，抽样的地域分布情况。样品的产地分布情况。</w:t>
      </w:r>
    </w:p>
    <w:p>
      <w:pP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三、</w:t>
      </w:r>
      <w:r>
        <w:rPr>
          <w:rFonts w:hint="eastAsia" w:asciiTheme="minorEastAsia" w:hAnsiTheme="minorEastAsia" w:eastAsiaTheme="minorEastAsia" w:cstheme="minorEastAsia"/>
        </w:rPr>
        <w:t>检验情况</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在抽检的12类化妆品中，普通护肤类、彩妆类、儿童类产品等6类化妆品抽检符合规定批次占比均达到97%以上。</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国家药监局将深入贯彻党的二十大精神，全面落实新发展理念，进一步提升国家化妆品抽样检验工作质量，提高化妆品监管工作效能，为保障公众用妆安全、助力产业高质量发展作出更大的努力。</w:t>
      </w:r>
    </w:p>
    <w:p>
      <w:pPr>
        <w:jc w:val="right"/>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（来源：国家药监局）</w:t>
      </w:r>
    </w:p>
    <w:p>
      <w:pPr>
        <w:ind w:left="0" w:leftChars="0" w:firstLine="0" w:firstLineChars="0"/>
      </w:pPr>
    </w:p>
    <w:p>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国家药监局综合司关于印发</w:t>
      </w:r>
    </w:p>
    <w:p>
      <w:pPr>
        <w:keepNext w:val="0"/>
        <w:keepLines w:val="0"/>
        <w:pageBreakBefore w:val="0"/>
        <w:widowControl w:val="0"/>
        <w:kinsoku/>
        <w:wordWrap/>
        <w:overflowPunct/>
        <w:topLinePunct w:val="0"/>
        <w:autoSpaceDE/>
        <w:autoSpaceDN/>
        <w:bidi w:val="0"/>
        <w:adjustRightInd/>
        <w:snapToGrid/>
        <w:spacing w:after="157" w:afterLines="50" w:line="70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化妆品标准制修订工作程序规定（试行）的通知</w:t>
      </w:r>
    </w:p>
    <w:p>
      <w:pPr>
        <w:keepNext w:val="0"/>
        <w:keepLines w:val="0"/>
        <w:pageBreakBefore w:val="0"/>
        <w:widowControl w:val="0"/>
        <w:kinsoku/>
        <w:wordWrap/>
        <w:overflowPunct/>
        <w:topLinePunct w:val="0"/>
        <w:autoSpaceDE/>
        <w:autoSpaceDN/>
        <w:bidi w:val="0"/>
        <w:adjustRightInd/>
        <w:snapToGrid/>
        <w:spacing w:line="500" w:lineRule="atLeast"/>
        <w:ind w:left="0" w:leftChars="0" w:firstLine="0" w:firstLineChars="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药监综妆〔2024〕67号</w:t>
      </w:r>
    </w:p>
    <w:p>
      <w:pPr>
        <w:keepNext w:val="0"/>
        <w:keepLines w:val="0"/>
        <w:pageBreakBefore w:val="0"/>
        <w:widowControl w:val="0"/>
        <w:kinsoku/>
        <w:wordWrap/>
        <w:overflowPunct/>
        <w:topLinePunct w:val="0"/>
        <w:autoSpaceDE/>
        <w:autoSpaceDN/>
        <w:bidi w:val="0"/>
        <w:adjustRightInd/>
        <w:snapToGrid/>
        <w:spacing w:line="500" w:lineRule="atLeast"/>
        <w:ind w:left="0" w:leftChars="0" w:firstLine="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国家药监局化妆品标准化技术委员会秘书处、各分技术委员会：</w:t>
      </w: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《化妆品标准制修订工作程序规定（试行）》已由国家药监局化妆品标准化技术委员会全体委员审议通过。现印发给你们，请遵照执行。</w:t>
      </w:r>
    </w:p>
    <w:p>
      <w:pPr>
        <w:keepNext w:val="0"/>
        <w:keepLines w:val="0"/>
        <w:pageBreakBefore w:val="0"/>
        <w:widowControl w:val="0"/>
        <w:kinsoku/>
        <w:wordWrap/>
        <w:overflowPunct/>
        <w:topLinePunct w:val="0"/>
        <w:autoSpaceDE/>
        <w:autoSpaceDN/>
        <w:bidi w:val="0"/>
        <w:adjustRightInd/>
        <w:snapToGrid/>
        <w:spacing w:line="500" w:lineRule="atLeast"/>
        <w:jc w:val="righ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国家药监局综合司</w:t>
      </w:r>
    </w:p>
    <w:p>
      <w:pPr>
        <w:keepNext w:val="0"/>
        <w:keepLines w:val="0"/>
        <w:pageBreakBefore w:val="0"/>
        <w:widowControl w:val="0"/>
        <w:kinsoku/>
        <w:wordWrap/>
        <w:overflowPunct/>
        <w:topLinePunct w:val="0"/>
        <w:autoSpaceDE/>
        <w:autoSpaceDN/>
        <w:bidi w:val="0"/>
        <w:adjustRightInd/>
        <w:snapToGrid/>
        <w:spacing w:line="500" w:lineRule="atLeast"/>
        <w:jc w:val="righ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2024年8月13日</w:t>
      </w:r>
    </w:p>
    <w:p>
      <w:pPr>
        <w:keepNext w:val="0"/>
        <w:keepLines w:val="0"/>
        <w:pageBreakBefore w:val="0"/>
        <w:widowControl w:val="0"/>
        <w:kinsoku/>
        <w:wordWrap/>
        <w:overflowPunct/>
        <w:topLinePunct w:val="0"/>
        <w:autoSpaceDE/>
        <w:autoSpaceDN/>
        <w:bidi w:val="0"/>
        <w:adjustRightInd/>
        <w:snapToGrid/>
        <w:spacing w:after="937" w:afterLines="300" w:line="50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查询网址：https://www.nmpa.gov.cn</w:t>
      </w:r>
    </w:p>
    <w:p>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市场监管总局关于印发《市场监管部门优化</w:t>
      </w:r>
    </w:p>
    <w:p>
      <w:pPr>
        <w:keepNext w:val="0"/>
        <w:keepLines w:val="0"/>
        <w:pageBreakBefore w:val="0"/>
        <w:widowControl w:val="0"/>
        <w:kinsoku/>
        <w:wordWrap/>
        <w:overflowPunct/>
        <w:topLinePunct w:val="0"/>
        <w:autoSpaceDE/>
        <w:autoSpaceDN/>
        <w:bidi w:val="0"/>
        <w:adjustRightInd/>
        <w:snapToGrid/>
        <w:spacing w:after="157" w:afterLines="50" w:line="70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营商环境重点举措（2024年版）》的通知</w:t>
      </w:r>
    </w:p>
    <w:p>
      <w:pPr>
        <w:keepNext w:val="0"/>
        <w:keepLines w:val="0"/>
        <w:pageBreakBefore w:val="0"/>
        <w:widowControl w:val="0"/>
        <w:kinsoku/>
        <w:wordWrap/>
        <w:overflowPunct/>
        <w:topLinePunct w:val="0"/>
        <w:autoSpaceDE/>
        <w:autoSpaceDN/>
        <w:bidi w:val="0"/>
        <w:adjustRightInd/>
        <w:snapToGrid/>
        <w:spacing w:line="500" w:lineRule="atLeast"/>
        <w:ind w:left="0" w:leftChars="0" w:firstLine="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各省、自治区、直辖市和新疆生产建设兵团市场监管局（厅、委），总局各司局、各直属单位，国家药监局综合司：</w:t>
      </w: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《市场监管部门优化营商环境重点举措（2024年版）》已经2024年8月26日总局第22次局务会议通过，现印发给你们，请结合实际认真贯彻落实。</w:t>
      </w:r>
    </w:p>
    <w:p>
      <w:pPr>
        <w:keepNext w:val="0"/>
        <w:keepLines w:val="0"/>
        <w:pageBreakBefore w:val="0"/>
        <w:widowControl w:val="0"/>
        <w:kinsoku/>
        <w:wordWrap/>
        <w:overflowPunct/>
        <w:topLinePunct w:val="0"/>
        <w:autoSpaceDE/>
        <w:autoSpaceDN/>
        <w:bidi w:val="0"/>
        <w:adjustRightInd/>
        <w:snapToGrid/>
        <w:spacing w:line="500" w:lineRule="atLeast"/>
        <w:jc w:val="righ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市场监管总局</w:t>
      </w:r>
    </w:p>
    <w:p>
      <w:pPr>
        <w:keepNext w:val="0"/>
        <w:keepLines w:val="0"/>
        <w:pageBreakBefore w:val="0"/>
        <w:widowControl w:val="0"/>
        <w:kinsoku/>
        <w:wordWrap/>
        <w:overflowPunct/>
        <w:topLinePunct w:val="0"/>
        <w:autoSpaceDE/>
        <w:autoSpaceDN/>
        <w:bidi w:val="0"/>
        <w:adjustRightInd/>
        <w:snapToGrid/>
        <w:spacing w:line="500" w:lineRule="atLeast"/>
        <w:jc w:val="righ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2024年8月29日</w:t>
      </w: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查询过网址：https://mp.weixin.qq.com/s/nZey5hUQsarHGRry47C4Sg</w:t>
      </w:r>
    </w:p>
    <w:p>
      <w:pPr>
        <w:ind w:left="0" w:leftChars="0" w:firstLine="0" w:firstLineChars="0"/>
      </w:pPr>
    </w:p>
    <w:p>
      <w:pPr>
        <w:ind w:left="0" w:leftChars="0" w:firstLine="0" w:firstLineChars="0"/>
      </w:pP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fldChar w:fldCharType="begin"/>
      </w:r>
      <w:r>
        <w:rPr>
          <w:rFonts w:hint="eastAsia" w:ascii="黑体" w:hAnsi="黑体" w:eastAsia="黑体" w:cs="黑体"/>
          <w:sz w:val="36"/>
          <w:szCs w:val="36"/>
        </w:rPr>
        <w:instrText xml:space="preserve"> HYPERLINK "javascript:void(0);" </w:instrText>
      </w:r>
      <w:r>
        <w:rPr>
          <w:rFonts w:hint="eastAsia" w:ascii="黑体" w:hAnsi="黑体" w:eastAsia="黑体" w:cs="黑体"/>
          <w:sz w:val="36"/>
          <w:szCs w:val="36"/>
        </w:rPr>
        <w:fldChar w:fldCharType="separate"/>
      </w:r>
      <w:r>
        <w:rPr>
          <w:rFonts w:hint="eastAsia" w:ascii="黑体" w:hAnsi="黑体" w:eastAsia="黑体" w:cs="黑体"/>
          <w:sz w:val="36"/>
          <w:szCs w:val="36"/>
        </w:rPr>
        <w:t>江苏省药监局审评中心</w:t>
      </w:r>
      <w:r>
        <w:rPr>
          <w:rFonts w:hint="eastAsia" w:ascii="黑体" w:hAnsi="黑体" w:eastAsia="黑体" w:cs="黑体"/>
          <w:sz w:val="36"/>
          <w:szCs w:val="36"/>
        </w:rPr>
        <w:fldChar w:fldCharType="end"/>
      </w:r>
      <w:r>
        <w:rPr>
          <w:rFonts w:hint="eastAsia" w:ascii="黑体" w:hAnsi="黑体" w:eastAsia="黑体" w:cs="黑体"/>
          <w:sz w:val="36"/>
          <w:szCs w:val="36"/>
        </w:rPr>
        <w:t>2024年9月1日起</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Theme="minorEastAsia" w:hAnsiTheme="minorEastAsia" w:eastAsiaTheme="minorEastAsia" w:cstheme="minorEastAsia"/>
        </w:rPr>
      </w:pPr>
      <w:r>
        <w:rPr>
          <w:rFonts w:hint="eastAsia" w:ascii="黑体" w:hAnsi="黑体" w:eastAsia="黑体" w:cs="黑体"/>
          <w:sz w:val="36"/>
          <w:szCs w:val="36"/>
        </w:rPr>
        <w:t>如何落实化妆品注册备案资料电子化</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一、化妆品及化妆品新原料注册备案资料电子化什么时间开始实施？</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答：为进一步提高化妆品监管政务服务水平，根据国家药监局发布《全面实施化妆品及化妆品新原料注册备案资料电子化有关事项的公告》要求，自2024年9月1日起，境内的化妆品及化妆品新原料注册人、备案人、境内责任人和化妆品生产企业在提交用户信息资料、化妆品及化妆品新原料注册备案资料时，仅需要通过化妆品注册备案信息服务平台（以下称信息服务平台）提交电子版资料，相关纸质版资料无需提交，由境内的化妆品及化妆品新原料注册人、备案人、境内责任人或者化妆品生产企业自行存档。</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二、备案资料电子化后，原先有提交要求的资料如何处理？</w:t>
      </w:r>
    </w:p>
    <w:p>
      <w:pPr>
        <w:keepNext w:val="0"/>
        <w:keepLines w:val="0"/>
        <w:pageBreakBefore w:val="0"/>
        <w:widowControl w:val="0"/>
        <w:kinsoku/>
        <w:wordWrap/>
        <w:overflowPunct/>
        <w:topLinePunct w:val="0"/>
        <w:autoSpaceDE/>
        <w:autoSpaceDN/>
        <w:bidi w:val="0"/>
        <w:adjustRightInd/>
        <w:snapToGrid/>
        <w:spacing w:after="469" w:afterLines="150" w:line="46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 xml:space="preserve">答：按照《化妆品注册备案资料管理规定》《化妆品新原料注册备案资料管理规定》《化妆品注册备案资料提交技术指南（试行）》等规定需提交资料原件、第三方证明资料和其他纸质版资料的，由境内的化妆品及化妆品新原料注册人、备案人或者境内责任人签章确认资料真实性，并通过信息服务平台提交相关电子版资料。                      </w:t>
      </w:r>
      <w:r>
        <w:rPr>
          <w:rFonts w:hint="eastAsia" w:asciiTheme="minorEastAsia" w:hAnsiTheme="minorEastAsia" w:eastAsiaTheme="minorEastAsia" w:cstheme="minorEastAsia"/>
          <w:lang w:eastAsia="zh-CN"/>
        </w:rPr>
        <w:t>（来源：</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"javascript:void(0);"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江苏省药监局审评中心</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lang w:eastAsia="zh-CN"/>
        </w:rPr>
        <w:t>）</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Theme="minorEastAsia" w:hAnsiTheme="minorEastAsia" w:eastAsiaTheme="minorEastAsia" w:cstheme="minorEastAsia"/>
        </w:rPr>
      </w:pPr>
      <w:r>
        <w:rPr>
          <w:rFonts w:hint="eastAsia" w:ascii="黑体" w:hAnsi="黑体" w:eastAsia="黑体" w:cs="黑体"/>
          <w:spacing w:val="-11"/>
          <w:sz w:val="36"/>
          <w:szCs w:val="36"/>
        </w:rPr>
        <w:fldChar w:fldCharType="begin"/>
      </w:r>
      <w:r>
        <w:rPr>
          <w:rFonts w:hint="eastAsia" w:ascii="黑体" w:hAnsi="黑体" w:eastAsia="黑体" w:cs="黑体"/>
          <w:spacing w:val="-11"/>
          <w:sz w:val="36"/>
          <w:szCs w:val="36"/>
        </w:rPr>
        <w:instrText xml:space="preserve"> HYPERLINK "javascript:void(0);" </w:instrText>
      </w:r>
      <w:r>
        <w:rPr>
          <w:rFonts w:hint="eastAsia" w:ascii="黑体" w:hAnsi="黑体" w:eastAsia="黑体" w:cs="黑体"/>
          <w:spacing w:val="-11"/>
          <w:sz w:val="36"/>
          <w:szCs w:val="36"/>
        </w:rPr>
        <w:fldChar w:fldCharType="separate"/>
      </w:r>
      <w:r>
        <w:rPr>
          <w:rFonts w:hint="eastAsia" w:ascii="黑体" w:hAnsi="黑体" w:eastAsia="黑体" w:cs="黑体"/>
          <w:spacing w:val="-11"/>
          <w:sz w:val="36"/>
          <w:szCs w:val="36"/>
        </w:rPr>
        <w:t>江苏省药监局审评中心</w:t>
      </w:r>
      <w:r>
        <w:rPr>
          <w:rFonts w:hint="eastAsia" w:ascii="黑体" w:hAnsi="黑体" w:eastAsia="黑体" w:cs="黑体"/>
          <w:spacing w:val="-11"/>
          <w:sz w:val="36"/>
          <w:szCs w:val="36"/>
        </w:rPr>
        <w:fldChar w:fldCharType="end"/>
      </w:r>
      <w:r>
        <w:rPr>
          <w:rFonts w:hint="eastAsia" w:ascii="黑体" w:hAnsi="黑体" w:eastAsia="黑体" w:cs="黑体"/>
          <w:spacing w:val="-11"/>
          <w:sz w:val="36"/>
          <w:szCs w:val="36"/>
        </w:rPr>
        <w:t>普通化妆品备案常见问题分析</w:t>
      </w:r>
      <w:r>
        <w:rPr>
          <w:rFonts w:hint="eastAsia" w:ascii="黑体" w:hAnsi="黑体" w:eastAsia="黑体" w:cs="黑体"/>
          <w:sz w:val="36"/>
          <w:szCs w:val="36"/>
        </w:rPr>
        <w:t>（2024第29期 产品检验报告—检验报告信息）</w:t>
      </w:r>
    </w:p>
    <w:p>
      <w:pPr>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总体要求</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备案人、境内责任人可依据《化妆品注册备案资料管理规定》第三十三条要求，提交由化妆品注册和备案检验检测机构出具的产品检验报告，包括微生物与理化检验、毒理学试验报告等。产品检验报告应当完整规范，检验项目应当符合《化妆品注册和备案检验工作规范》、《化妆品安全技术规范》有关要求。</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普通化妆品的生产企业已取得所在国（地区）政府主管部门出具的生产质量管理体系相关资质认证，且产品安全风险评估结果能够充分确认产品安全性的，可免于提交该产品的毒理学试验报告，有下列情形的除外：</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(1)产品宣称婴幼儿和儿童使用的；</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(2)产品使用尚在安全监测中化妆品新原料的；</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(3)根据量化分级评分结果，备案人、境内责任人、生产企业被列为重点监管对象的。</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有多个生产企业生产的，需所有生产企业均取得所在国（地区）政府主管部门出具的生产质量管理体系相关资质认证。</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一、产品检验报告</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（一）检验报告信息</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《化妆品注册和备案检验工作规范》要求的检验项目的产品检验报告由非化妆品注册和备案检验检测机构出具。</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同一产品的备案检验项目未由同一检验检测机构完成并出具报告。(涉及人体安全性和功效评价检验的、检验检测机构的资质认定（CMA）能力范围中不包括石棉项目或其他补测项目的、采用自检方式的除外）</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如毒理学试验报告与微生物和理化试验报告非同一家检测机构出具。</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rPr>
        <w:t>产品检验报告中中载明的信息如产品名称、送检单位或生产企业等内容与备案申请表不一致，且无相关说明。</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如产品名称更名，未提交检验报告变更申请表和检验检测机构出具的补充检验报告或者更正函。</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4、</w:t>
      </w:r>
      <w:r>
        <w:rPr>
          <w:rFonts w:hint="eastAsia" w:asciiTheme="minorEastAsia" w:hAnsiTheme="minorEastAsia" w:eastAsiaTheme="minorEastAsia" w:cstheme="minorEastAsia"/>
        </w:rPr>
        <w:t>产品检验报告的受检样品非同一产品名称、同一批号的产品。</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5、</w:t>
      </w:r>
      <w:r>
        <w:rPr>
          <w:rFonts w:hint="eastAsia" w:asciiTheme="minorEastAsia" w:hAnsiTheme="minorEastAsia" w:eastAsiaTheme="minorEastAsia" w:cstheme="minorEastAsia"/>
        </w:rPr>
        <w:t>检验结果不符合《化妆品安全技术规范》（2015版）要求或者执行的</w:t>
      </w:r>
      <w:r>
        <w:rPr>
          <w:rFonts w:hint="eastAsia" w:asciiTheme="minorEastAsia" w:hAnsiTheme="minorEastAsia" w:eastAsiaTheme="minorEastAsia" w:cstheme="minorEastAsia"/>
          <w:lang w:val="en-US" w:eastAsia="zh-CN"/>
        </w:rPr>
        <w:t>标准中设定的指标。</w:t>
      </w:r>
    </w:p>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（来源：</w:t>
      </w:r>
      <w:r>
        <w:rPr>
          <w:rFonts w:hint="eastAsia" w:asciiTheme="minorEastAsia" w:hAnsiTheme="minorEastAsia" w:eastAsiaTheme="minorEastAsia" w:cstheme="minorEastAsia"/>
          <w:lang w:val="en-US" w:eastAsia="zh-CN"/>
        </w:rPr>
        <w:fldChar w:fldCharType="begin"/>
      </w:r>
      <w:r>
        <w:rPr>
          <w:rFonts w:hint="eastAsia" w:asciiTheme="minorEastAsia" w:hAnsiTheme="minorEastAsia" w:eastAsiaTheme="minorEastAsia" w:cstheme="minorEastAsia"/>
          <w:lang w:val="en-US" w:eastAsia="zh-CN"/>
        </w:rPr>
        <w:instrText xml:space="preserve"> HYPERLINK "javascript:void(0);" </w:instrText>
      </w:r>
      <w:r>
        <w:rPr>
          <w:rFonts w:hint="eastAsia" w:asciiTheme="minorEastAsia" w:hAnsiTheme="minorEastAsia" w:eastAsiaTheme="minorEastAsia" w:cstheme="minorEastAsia"/>
          <w:lang w:val="en-US" w:eastAsia="zh-CN"/>
        </w:rPr>
        <w:fldChar w:fldCharType="separate"/>
      </w:r>
      <w:r>
        <w:rPr>
          <w:rFonts w:hint="eastAsia" w:asciiTheme="minorEastAsia" w:hAnsiTheme="minorEastAsia" w:eastAsiaTheme="minorEastAsia" w:cstheme="minorEastAsia"/>
          <w:lang w:val="en-US" w:eastAsia="zh-CN"/>
        </w:rPr>
        <w:t>江苏省药监局审评中心</w:t>
      </w:r>
      <w:r>
        <w:rPr>
          <w:rFonts w:hint="eastAsia" w:asciiTheme="minorEastAsia" w:hAnsiTheme="minorEastAsia" w:eastAsiaTheme="minorEastAsia" w:cstheme="minorEastAsia"/>
          <w:lang w:val="en-US" w:eastAsia="zh-CN"/>
        </w:rPr>
        <w:fldChar w:fldCharType="end"/>
      </w:r>
      <w:r>
        <w:rPr>
          <w:rFonts w:hint="eastAsia" w:asciiTheme="minorEastAsia" w:hAnsiTheme="minorEastAsia" w:eastAsiaTheme="minorEastAsia" w:cstheme="minorEastAsia"/>
          <w:lang w:val="en-US" w:eastAsia="zh-CN"/>
        </w:rPr>
        <w:t>）</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pacing w:val="-6"/>
          <w:sz w:val="36"/>
          <w:szCs w:val="36"/>
          <w:lang w:eastAsia="zh-CN"/>
        </w:rPr>
        <w:fldChar w:fldCharType="begin"/>
      </w:r>
      <w:r>
        <w:rPr>
          <w:rFonts w:hint="eastAsia" w:ascii="黑体" w:hAnsi="黑体" w:eastAsia="黑体" w:cs="黑体"/>
          <w:spacing w:val="-6"/>
          <w:sz w:val="36"/>
          <w:szCs w:val="36"/>
          <w:lang w:eastAsia="zh-CN"/>
        </w:rPr>
        <w:instrText xml:space="preserve"> HYPERLINK "javascript:void(0);" </w:instrText>
      </w:r>
      <w:r>
        <w:rPr>
          <w:rFonts w:hint="eastAsia" w:ascii="黑体" w:hAnsi="黑体" w:eastAsia="黑体" w:cs="黑体"/>
          <w:spacing w:val="-6"/>
          <w:sz w:val="36"/>
          <w:szCs w:val="36"/>
          <w:lang w:eastAsia="zh-CN"/>
        </w:rPr>
        <w:fldChar w:fldCharType="separate"/>
      </w:r>
      <w:r>
        <w:rPr>
          <w:rFonts w:hint="eastAsia" w:ascii="黑体" w:hAnsi="黑体" w:eastAsia="黑体" w:cs="黑体"/>
          <w:spacing w:val="-6"/>
          <w:sz w:val="36"/>
          <w:szCs w:val="36"/>
          <w:lang w:eastAsia="zh-CN"/>
        </w:rPr>
        <w:t>江苏省药监局审评中心</w:t>
      </w:r>
      <w:r>
        <w:rPr>
          <w:rFonts w:hint="eastAsia" w:ascii="黑体" w:hAnsi="黑体" w:eastAsia="黑体" w:cs="黑体"/>
          <w:spacing w:val="-6"/>
          <w:sz w:val="36"/>
          <w:szCs w:val="36"/>
          <w:lang w:eastAsia="zh-CN"/>
        </w:rPr>
        <w:fldChar w:fldCharType="end"/>
      </w:r>
      <w:r>
        <w:rPr>
          <w:rFonts w:hint="eastAsia" w:ascii="黑体" w:hAnsi="黑体" w:eastAsia="黑体" w:cs="黑体"/>
          <w:spacing w:val="-6"/>
          <w:sz w:val="36"/>
          <w:szCs w:val="36"/>
        </w:rPr>
        <w:t>普通化妆品备案常见问题分析</w:t>
      </w:r>
      <w:r>
        <w:rPr>
          <w:rFonts w:hint="eastAsia" w:ascii="黑体" w:hAnsi="黑体" w:eastAsia="黑体" w:cs="黑体"/>
          <w:sz w:val="36"/>
          <w:szCs w:val="36"/>
        </w:rPr>
        <w:t>（2024第30期 产品安全评估资料</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Theme="minorEastAsia" w:hAnsiTheme="minorEastAsia" w:eastAsiaTheme="minorEastAsia" w:cstheme="minorEastAsia"/>
        </w:rPr>
      </w:pPr>
      <w:r>
        <w:rPr>
          <w:rFonts w:hint="eastAsia" w:ascii="黑体" w:hAnsi="黑体" w:eastAsia="黑体" w:cs="黑体"/>
          <w:sz w:val="36"/>
          <w:szCs w:val="36"/>
        </w:rPr>
        <w:t>—配方中各成分的安全评估）</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总体要求</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备案人、境内责任人应依据《化妆品注册备案资料管理规定》第三十四条，按照化妆品安全评估相关技术指南的要求开展产品安全评估，形成产品安全评估报告。依据《国家药监局关于发布优化化妆品安全评估管理若干措施的公告》（2024年第50号），在2025年5月1日前，化妆品注册人、备案人申请注册或者进行备案时仍可以提交符合《化妆品安全评估技术导则》要求的简化版安全评估报告。同时，提交的安全评估资料应符合《儿童化妆品技术指导原则》、《化妆品风险物质识别与评估技术指导原则》等相关文件要求。</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一、产品安全评估资料</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（一）配方中各成分的安全评估</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1、未按《导则》要求至少选择一种证据进行评估以确定其安全性，或者成分的含量超出所选择的证据类型的限量，且无进一步分析和评估。</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2、未按照《化妆品安全技术规范》要求对限用组分、准用组分进行评估，如未明确《规范》中的具体列表名称，并评估是否符合《规范》列表中的限制要求。</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引用国内外权威机构评估结论的评估依据不充分。如：①未结合配方使用量进行评估。②未结合评估结论的限制使用条件进行分析，如配方为无刺激。③采用的评估数据未科学分析，如缺少部分毒理学终点实验数据或实验浓度未覆盖配方量。</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4、采用本企业已上市产品中历史使用浓度进行评估的，未提供完整的相关证明文件，包括备案配方、备案凭证、产品上市证明文件、不良反应监测情况说明等。</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5、采用《已使用化妆品原料目录》进行评估的依据不足。如：①未注明原料在淋洗或驻留类产品的最高历史使用量。②超出最高历史使用量。③驻留类产品引用淋洗类产品最高历史使用量。④类别原料中的某一具体原料，采用了类别原料的最高历史使用量进行安全评估，如“玉米油”采用“植物油”的历史使用量。⑤全株植物采用了该植物具体使用部位最高历史使用量，如xx植物提取物采用xx根植物提取物的历史使用量。</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6、采用其他评估依据不合理。如：①采用安全食用历史评估依据不足，如证明资料不具权威性，未明确原料是否为可食用部位、提取物的提取工艺不涉及生物化学或化学反应即原有食物成分结构未发生改变等。②结构和性质稳定的高分子聚合物判定依据不足，如不满足相对分子质量小于1000道尔顿的低聚体含量少于10%等。③使用毒理学关注阈值（TTC）或者交叉参照方法评估的原料不符合要求。</w:t>
      </w:r>
    </w:p>
    <w:p>
      <w:pPr>
        <w:keepNext w:val="0"/>
        <w:keepLines w:val="0"/>
        <w:pageBreakBefore w:val="0"/>
        <w:widowControl w:val="0"/>
        <w:numPr>
          <w:ilvl w:val="0"/>
          <w:numId w:val="2"/>
        </w:numPr>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按照《化妆品安全评估技术导则（2021年版）》开展完整评估的原料，其安全评估依据不足。如：①可豁免系统毒性的原料缺少部分局部毒性的评估，如具有悠久食用历史、无透皮吸收、采用每日允许摄入量（ADI）等情形。②系统毒性评估不科学不合理，如未明确NOAEL值来源，无暴露量、安全边际值MOS的计算过程等，或者选择28天重复剂量毒性试验数据时，未增加不确定因子。③缺少部分毒理学终点的评估，如遗传毒性（至少应当包括一项基因突变和一项染色体畸变试验）等。</w:t>
      </w:r>
    </w:p>
    <w:p>
      <w:pPr>
        <w:keepNext w:val="0"/>
        <w:keepLines w:val="0"/>
        <w:pageBreakBefore w:val="0"/>
        <w:widowControl w:val="0"/>
        <w:numPr>
          <w:ilvl w:val="0"/>
          <w:numId w:val="2"/>
        </w:numPr>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特定原料安全评估不充分的情形。如：①备案产品使用的新原料不符合新原料技术要求，包括使用目的、使用范围、使用浓度、使用限制和要求等。②香精评估依据不足，如采用“驻留类化妆品的最高历史使用量”作为评估证据，未提供香精IFRA证书，或者香精证书与产品配方无相关性等。③纳米原料评估依据不足，如采用非纳米原料的数据作为评估依据，或者未提供相应质量规格证明文件。④含有变性剂的原料，未对所用变性剂进行评估。</w:t>
      </w:r>
    </w:p>
    <w:p>
      <w:pPr>
        <w:keepNext w:val="0"/>
        <w:keepLines w:val="0"/>
        <w:pageBreakBefore w:val="0"/>
        <w:widowControl w:val="0"/>
        <w:numPr>
          <w:ilvl w:val="0"/>
          <w:numId w:val="2"/>
        </w:numPr>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特殊产品安全评估不充分的情形。如：①儿童化妆品未对所用原料种类、用量的科学性和必要性进行分析，如涉及使用香精香料、季铵盐阳离子表面活性剂等。②气雾剂型化妆品，未对推进剂进行安全评估。③两剂或者两剂以上必须配合使用的产品，未根据产品使用方法对混合后的原料含量进行评估，或未对每种配比情况下原料的实际使用量进行评估。</w:t>
      </w:r>
    </w:p>
    <w:p>
      <w:pPr>
        <w:keepNext w:val="0"/>
        <w:keepLines w:val="0"/>
        <w:pageBreakBefore w:val="0"/>
        <w:widowControl w:val="0"/>
        <w:kinsoku/>
        <w:wordWrap/>
        <w:overflowPunct/>
        <w:topLinePunct w:val="0"/>
        <w:autoSpaceDE/>
        <w:autoSpaceDN/>
        <w:bidi w:val="0"/>
        <w:adjustRightInd/>
        <w:snapToGrid/>
        <w:spacing w:line="42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"javascript:void(0);"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江苏省药监局审评中心</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lang w:eastAsia="zh-CN"/>
        </w:rPr>
        <w:t>）</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北京市化妆品审评检查中心关于普通化妆品备案常见问题一问一答（第三十六期）（完整安评入门篇）</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国家药监局《关于发布优化化妆品安全评估管理若干措施的公告》（2024年第50号），化妆品完整版安全评估已有序开展。为了帮助化妆品备案人顺利开展相关工作，让我们从头开始，一步一步地走进化妆品完整版安全评估。</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问题1：化妆品安全评估相关的法规和技术文件主要包括哪些？</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答：主要法规：</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《化妆品监督管理条例》</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《化妆品注册备案管理办法》</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《化妆品注册备案资料管理规定》</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《化妆品安全评估技术导则》</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《化妆品安全技术规范》</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《化妆品分类规则和分类目录》</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《化妆品标签管理办法》</w:t>
      </w:r>
      <w:r>
        <w:rPr>
          <w:rFonts w:hint="eastAsia" w:asciiTheme="minorEastAsia" w:hAnsiTheme="minorEastAsia" w:eastAsiaTheme="minorEastAsia" w:cstheme="minorEastAsia"/>
          <w:lang w:eastAsia="zh-CN"/>
        </w:rPr>
        <w:t>。</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技术文件：</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《化妆品原料数据使用指南》——明确了安全评估中主要的七种原料数据类型、使用要求和需要提供的证明资料</w:t>
      </w:r>
      <w:r>
        <w:rPr>
          <w:rFonts w:hint="eastAsia" w:asciiTheme="minorEastAsia" w:hAnsiTheme="minorEastAsia" w:eastAsiaTheme="minorEastAsia" w:cstheme="minorEastAsia"/>
          <w:lang w:eastAsia="zh-CN"/>
        </w:rPr>
        <w:t>。</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《国际权威化妆品安全评估数据索引》——对我国化妆品中已使用、未收录在《化妆品安全技术规范》中，SCCS和CIR已公布化妆品安全评估报告原料的客观收集</w:t>
      </w:r>
      <w:r>
        <w:rPr>
          <w:rFonts w:hint="eastAsia" w:asciiTheme="minorEastAsia" w:hAnsiTheme="minorEastAsia" w:eastAsiaTheme="minorEastAsia" w:cstheme="minorEastAsia"/>
          <w:lang w:eastAsia="zh-CN"/>
        </w:rPr>
        <w:t>。</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《已上市产品原料使用信息》——对批件有效期内特殊化妆品中已使用、未收录在《化妆品安全技术规范》中、且无权威机构评估报告的原料使用量的客观收录</w:t>
      </w:r>
      <w:r>
        <w:rPr>
          <w:rFonts w:hint="eastAsia" w:asciiTheme="minorEastAsia" w:hAnsiTheme="minorEastAsia" w:eastAsiaTheme="minorEastAsia" w:cstheme="minorEastAsia"/>
          <w:lang w:eastAsia="zh-CN"/>
        </w:rPr>
        <w:t>。</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《毒理学关注阈值（TTC）方法应用技术指南》——该方法适用于化学结构明确、且不包含严重致突变警告结构的原料或风险物质，含量较低且缺乏系统毒理学研究数据时，可参考使用</w:t>
      </w:r>
      <w:r>
        <w:rPr>
          <w:rFonts w:hint="eastAsia" w:asciiTheme="minorEastAsia" w:hAnsiTheme="minorEastAsia" w:eastAsiaTheme="minorEastAsia" w:cstheme="minorEastAsia"/>
          <w:lang w:eastAsia="zh-CN"/>
        </w:rPr>
        <w:t>。</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《交叉参照（Read-across）方法应用技术指南》——该方法适用于缺乏系统毒理学研究数据的非功效成分或风险物质，可参考使用</w:t>
      </w:r>
      <w:r>
        <w:rPr>
          <w:rFonts w:hint="eastAsia" w:asciiTheme="minorEastAsia" w:hAnsiTheme="minorEastAsia" w:eastAsiaTheme="minorEastAsia" w:cstheme="minorEastAsia"/>
          <w:lang w:eastAsia="zh-CN"/>
        </w:rPr>
        <w:t>。</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《皮肤致敏性整合测试与评估策略应用技术指南》——适用于化妆品原料皮肤致敏性评价</w:t>
      </w:r>
      <w:r>
        <w:rPr>
          <w:rFonts w:hint="eastAsia" w:asciiTheme="minorEastAsia" w:hAnsiTheme="minorEastAsia" w:eastAsiaTheme="minorEastAsia" w:cstheme="minorEastAsia"/>
          <w:lang w:eastAsia="zh-CN"/>
        </w:rPr>
        <w:t>。</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化妆品稳定性测试评估技术指南》、《化妆品防腐挑战测试评估技术指南》、《化妆品与包材相容性测试评估技术指南》——适用于化妆品稳定性评价、化妆品防腐体系效能评价、与化妆品内容物直接接触的容器或载体与产品相容性评价</w:t>
      </w:r>
      <w:r>
        <w:rPr>
          <w:rFonts w:hint="eastAsia" w:asciiTheme="minorEastAsia" w:hAnsiTheme="minorEastAsia" w:eastAsiaTheme="minorEastAsia" w:cstheme="minorEastAsia"/>
          <w:lang w:eastAsia="zh-CN"/>
        </w:rPr>
        <w:t>。</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《化妆品风险物质识别与评估技术指导原则》——根据《化妆品安全技术规范》中规定，参考国内外权威机构风险评估结论等方法对化妆品中可能存在的风险物质进行识别与评估</w:t>
      </w:r>
      <w:r>
        <w:rPr>
          <w:rFonts w:hint="eastAsia" w:asciiTheme="minorEastAsia" w:hAnsiTheme="minorEastAsia" w:eastAsiaTheme="minorEastAsia" w:cstheme="minorEastAsia"/>
          <w:lang w:eastAsia="zh-CN"/>
        </w:rPr>
        <w:t>。</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《化妆品安全评估资料提交指南》——细化了化妆品安全评估资料分类提交要求，指引备案人准确规范提交安全评估资料。</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问题2：如何全面了解化妆品安全评估——《化妆品安全评估技术导则》（简称《导则》）？</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导则》正文共十部分，包括适用范围、基本原则与要求、安全评估人员的要求、风险评估程序、毒理学试验、原料的安全评估、化妆品产品的安全评估、安全评估报告、说明和释义，主要对安全评估的原则、人员等进行了明确，规定了评估程序、原料和产品的安全评估要求以及评估报告内容、简化版安全评估报告要求等。</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《导则》共四个附录，附录1和附录2分别规定了原料和化妆品产品安全评估报告应包含的内容，附录3和附录4分别给出了完整版和简化版产品安全评估报告的示例。</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问题3：完整版安评报告包括哪些内容？</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根据《化妆品安全评估技术导则》，完整版化妆品安全评估内容应包括：摘要、产品简介、产品配方、配方设计原则（仅针对儿童化妆品）、配方中各成分的安全评估、可能存在的风险物质评估、风险控制措施或建议、安全评估结论、安全评估人员签名、安全评估人员简历、参考文献、附录。与简化版安全评估内容相比较，完整版安评内容还应体现防腐剂挑战结果、稳定性检测结果和产品与包装材料的相容性评估结果，以及相应的检测报告。</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问题4：风险评估四步法是什么？</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答：即对化妆品原料和风险物质进行风险评估的四个步骤：危害识别、剂量反应关系、暴露评估、风险特征描述。</w:t>
      </w:r>
    </w:p>
    <w:p>
      <w:pPr>
        <w:keepNext w:val="0"/>
        <w:keepLines w:val="0"/>
        <w:pageBreakBefore w:val="0"/>
        <w:widowControl w:val="0"/>
        <w:kinsoku/>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问题5：常用的毒理学数据库及登陆网址？</w:t>
      </w:r>
    </w:p>
    <w:p>
      <w:pPr>
        <w:keepNext w:val="0"/>
        <w:keepLines w:val="0"/>
        <w:pageBreakBefore w:val="0"/>
        <w:widowControl w:val="0"/>
        <w:kinsoku/>
        <w:wordWrap w:val="0"/>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答：美国CIR化妆品成分数据库</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http://www.cir-safety.org/</w:t>
      </w:r>
    </w:p>
    <w:p>
      <w:pPr>
        <w:keepNext w:val="0"/>
        <w:keepLines w:val="0"/>
        <w:pageBreakBefore w:val="0"/>
        <w:widowControl w:val="0"/>
        <w:kinsoku/>
        <w:wordWrap w:val="0"/>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欧盟CosIng数据库</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https://ec.europa.eu/growth/tools-databases/cosing/</w:t>
      </w:r>
    </w:p>
    <w:p>
      <w:pPr>
        <w:keepNext w:val="0"/>
        <w:keepLines w:val="0"/>
        <w:pageBreakBefore w:val="0"/>
        <w:widowControl w:val="0"/>
        <w:kinsoku/>
        <w:wordWrap w:val="0"/>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OECD数据库</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http://www.echemportal.org/echemportal/</w:t>
      </w:r>
    </w:p>
    <w:p>
      <w:pPr>
        <w:keepNext w:val="0"/>
        <w:keepLines w:val="0"/>
        <w:pageBreakBefore w:val="0"/>
        <w:widowControl w:val="0"/>
        <w:kinsoku/>
        <w:wordWrap w:val="0"/>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欧盟ECHA数据库</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http://echa.europa.eu/home</w:t>
      </w:r>
    </w:p>
    <w:p>
      <w:pPr>
        <w:keepNext w:val="0"/>
        <w:keepLines w:val="0"/>
        <w:pageBreakBefore w:val="0"/>
        <w:widowControl w:val="0"/>
        <w:kinsoku/>
        <w:wordWrap/>
        <w:overflowPunct/>
        <w:topLinePunct w:val="0"/>
        <w:autoSpaceDE/>
        <w:autoSpaceDN/>
        <w:bidi w:val="0"/>
        <w:adjustRightInd/>
        <w:snapToGrid/>
        <w:spacing w:after="625" w:afterLines="200" w:line="45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（来源：北京市药品监督管理局）</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广州市市场监督管理局普通化妆品备案问答</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（六十六期）</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1、化妆品准用着色剂应注意哪些使用范围限制？</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答：</w:t>
      </w:r>
      <w:r>
        <w:rPr>
          <w:rFonts w:hint="eastAsia" w:asciiTheme="minorEastAsia" w:hAnsiTheme="minorEastAsia" w:eastAsiaTheme="minorEastAsia" w:cstheme="minorEastAsia"/>
        </w:rPr>
        <w:t>根据《化妆品安全技术规范》，化妆品准用着色剂使用范围主要分为四类：各种化妆品、除眼部化妆品之外的其他化妆品、专用于不与粘膜接触的化妆品、专用于仅和皮肤暂时接触的化妆品。例如，CI 10316、CI 15510仅允许用于除眼部化妆品之外的其他化妆品。</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近期，在化妆品监管中发现超范围使用准用着剂的情况，备案人在配方审核时，应予以严格把关。</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2、化妆品配方使用“碘丙炔醇丁基氨甲酸酯”应注意哪些事项？</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答：</w:t>
      </w:r>
      <w:r>
        <w:rPr>
          <w:rFonts w:hint="eastAsia" w:asciiTheme="minorEastAsia" w:hAnsiTheme="minorEastAsia" w:eastAsiaTheme="minorEastAsia" w:cstheme="minorEastAsia"/>
        </w:rPr>
        <w:t>根据《化妆品安全技术规范》，碘丙炔醇丁基氨甲酸酯作为防腐剂，其使用范围和限制条件分为三类：</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（a）淋洗类产品，禁止用于唇部产品，化妆品使用时的最大允许浓度0.02%；</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（b）驻留类产品，禁用于唇部用产品；禁用于体霜和体乳（即不得用于涉及大面积应用于身体的任何剂型产品）；化妆品使用时的最大允许浓度0.01%；</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（c）除臭产品和抑汗产品，禁用于唇部用产品，化妆品使用时的最大允许浓度0.0075%。</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三类产品都不得用于三岁以下儿童使用的产品中（淋洗类产品中沐浴产品和香波除外）。仅当产品有可能为三岁以下儿童使用，洗浴用品和香波除外，标签上必须标印“三岁以下儿童勿用”的注意事项。备案人在使用碘丙炔醇丁基氨甲酸酯时，应按照上述产品类别要求，查验是否符合《化妆品安全技术规范》的规定。</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3、含乙氧基结构原料的粉剂类化妆品备案检验是否需要加测二噁烷？</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答：</w:t>
      </w:r>
      <w:r>
        <w:rPr>
          <w:rFonts w:hint="eastAsia" w:asciiTheme="minorEastAsia" w:hAnsiTheme="minorEastAsia" w:eastAsiaTheme="minorEastAsia" w:cstheme="minorEastAsia"/>
        </w:rPr>
        <w:t>《化妆品注册和备案检验工作规范》要求配方中含有乙氧基结构原料的产品，应当检测二噁烷。2024年3月国家药监督局发布《国家药监局关于将化妆品毒理学试验方法样品前处理通则等19项制修订项目纳入化妆品安全技术规范（2015年版）的通告》（2024年第12号），通告中《化妆品中二噁烷的检验方法》的适用范围由原来的适用于“液态水基类、膏霜乳液类”化妆品中二噁烷含量的测定扩展到“液态水基类、膏霜乳液类、凝胶类、粉剂、卸妆油类”化妆品中二噁烷含量的测定。因此，含乙氧基结构原料的粉剂类化妆品应按通告中《化妆品中二噁烷的检验方法》进行二噁烷含量的检测。</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4、如何加强化妆品（牙膏）信息服务平台账号管理？</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答：</w:t>
      </w:r>
      <w:r>
        <w:rPr>
          <w:rFonts w:hint="eastAsia" w:asciiTheme="minorEastAsia" w:hAnsiTheme="minorEastAsia" w:eastAsiaTheme="minorEastAsia" w:cstheme="minorEastAsia"/>
        </w:rPr>
        <w:t>化妆品备案人应妥善保管平台用户密码，通过该用户进行的注册备案相关行为均代表本企业行为，因密码丢失或泄密造成的损失将由企业自行承担。在平台上提交首次备案、备案变更、备案注销前，备案人应当进行认真审核、确认，对所提交的内容和事项负法律责任。部分备案人将平台账号交由其他企业操作，未尽到保管和提交资料审核责任，后果风险极大，应引以为戒。</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5、受托生产企业经营异常时，化妆品备案人应采取什么措施？</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答：</w:t>
      </w:r>
      <w:r>
        <w:rPr>
          <w:rFonts w:hint="eastAsia" w:asciiTheme="minorEastAsia" w:hAnsiTheme="minorEastAsia" w:eastAsiaTheme="minorEastAsia" w:cstheme="minorEastAsia"/>
        </w:rPr>
        <w:t>根据《化妆品生产质量管理规范》，委托方（备案人）应当建立并执行受托生产企业更换制度，发现受托生产企业的生产条件、生产能力发生变化，不再满足委托生产需要的，应当及时停止委托，根据生产需要更换受托生产企业。</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委托方（备案人）应对受托生产企业生产活动进行监督，若发现受托生产企业经营异常，应及时停止委托，尽快更换生产企业并变更备案资料。企业经营异常名录可在“国家企业信用信息公示系统”查询。</w:t>
      </w:r>
    </w:p>
    <w:p>
      <w:pPr>
        <w:keepNext w:val="0"/>
        <w:keepLines w:val="0"/>
        <w:pageBreakBefore w:val="0"/>
        <w:widowControl w:val="0"/>
        <w:kinsoku/>
        <w:wordWrap/>
        <w:overflowPunct/>
        <w:topLinePunct w:val="0"/>
        <w:autoSpaceDE/>
        <w:autoSpaceDN/>
        <w:bidi w:val="0"/>
        <w:adjustRightInd/>
        <w:snapToGrid/>
        <w:spacing w:after="469" w:afterLines="150" w:line="44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来源：广州市市场监督管理局</w:t>
      </w:r>
      <w:r>
        <w:rPr>
          <w:rFonts w:hint="eastAsia" w:asciiTheme="minorEastAsia" w:hAnsiTheme="minorEastAsia" w:eastAsiaTheme="minorEastAsia" w:cstheme="minorEastAsia"/>
          <w:lang w:eastAsia="zh-CN"/>
        </w:rPr>
        <w:t>）</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跨国交流，共谋发展</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——协会赴日考察，探索日本化妆品行业发展之道</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日本美妆行业在全球范围内享有盛名，以其高品质和创新的产品深受消费者的喜爱。随着全球化与数字化的浪潮，日本化妆品行业一直保持着旺盛的生命力和不断创新的能力。日本的化妆品市场是全球化妆品品牌的重要发源地，同时，日本也是仅次于美国、中国的世界第三大化妆品消费国，尤其是在亚洲地区，日本化妆品市场扮演着行业风向标的角色。</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为了深入了解日本化妆品市场发展情况，汲取日本优秀化妆品企业发展经验，积极响应国家关于“走出去”战略发展需要，2024年8月下旬，江苏日化协会开展了赴日商务考察活动，在江苏日化协会李君图理事长的带队下，协会副理事长、常务理事、秘书处共14人参加此次考察活动。</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在协会常务理事单位科玛化妆品（苏州）有限公司副总经理嵇东的引荐下，协会考察团先后走访了日本科玛总部、日本科玛柏原研究所及工厂、日本美之贺公司、日本秀一化妆品公司，通过实地参观和面对面座谈的形式，考察团对日本化妆品企业有了更深入的了解。</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考察第一站——TOA株式会社（日本科玛总部），位于大阪。</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首站参观TOA株式会社（日本科玛总部），考察团一行受到了TOA集团董事长社长神崎義英先生的热情接待，神崎社长为大家详细介绍了日本科玛（现TOA集团）的发展历史和经营现状。同时，他还以日本化妆品工业协会副会长名义向大家介绍了日本化妆品工业协会发展情况及分析了日本化妆品行业现状。</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TOA株式会社是一家创业于1912年，具有百年历史的专业化妆品生产企业,也是目前日本规模最大的化妆品定牌加工(ODM/OEM)企业，在全球有6个研究所和十个生产工厂（其中日本有五个研究所和七个生产工厂，中国一个研究所、两个工厂）。日本在职员工2000多名，拥有强大的化妆品研发团队和实力，每年研发超1000个配方，其中85%以上为自主研发，连续20年实现营业额持续增长。2024年7月，集团收购了全球著名彩妆企业Tokiwa（永青），更进一步扩大了市场的占有率。公司服务客户遍布全球，产品涵盖化妆品全部品类，在全球化妆品代工领域具有领军地位。</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第二站——日本科玛柏原研究所及工厂，位于大阪。</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日本科玛柏原工厂设立于1980年，占地约1.4万平，生产粉体、乳剂、护肤、护发等品类。考察团一行深度参观了工厂的称量车间、罐包装车间、研发实验室等区域。对比研究了中日化妆品企业管理及监管的差异，深刻体会到日本化妆品企业对产品质量的把控及安全生产、规范操作意识的重视，深挖每一处细节，值得我们借鉴学习。</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第三站——日本美之贺工业株式会社，位于大阪。</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日本美之贺工业株式会社社长田中啓史亲切接待了协会考察团一行并向大家介绍了美之贺的发展概况。日本美之贺创立于1954年，是日本第一家研发化妆品真空乳化装置的企业，其生产的真空乳化装置在日本化妆品企业中有较大的市场占有率。1985年美之贺开始进入中国市场，苏州“月中桂”就是中国第一批采购日本美之贺设备的企业。1999年，美之贺机械（无锡）有限公司成立，标志着中国的化妆品高端生产设备市场潜力巨大。美之贺设备以其精湛的工艺、过硬的品质和优良的服务，赢得了世界化妆品工厂的赞誉。</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美之贺领导层与协会考察团双方就当前化妆品工厂的发展趋势、配套设备的市场前景进行了深入的交流与探讨，力求找到更多的合作机会，带动行业高质量发展。</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第四站——日本秀一化妆品株式会社，位于岡山。</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随着世界各地对日本本土化妆品的需求攀升，中国本土化妆品企业也争相打入日本市场，汲取日本研发制造精髓，塑造日系品质的品牌形象，以扩大品牌影响力。</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2017年，上美股份在日本岡山投建日本秀一化妆品工厂，从世界各地引进行业领先设备，包括德国Ekato、日本美之贺、意大利西瑞斯，中国的一些优秀品牌设备凭借其实用性和高效率也在秀一工厂得到广泛的应用，以打造国际水准的化妆品工厂，满足全球客户的不同需求。在研发方面，秀一组建了一支以日籍专家为代表的百人研发团队，为打造纯日本配方、高品质产品提供专业支撑。</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秀一工厂厂长张增良带领考察团参观了工厂的水处理系统、罐包装车间、BFS车间等，并从工厂生产布局、设备应用、产品生产流程及管理运营模式等方面进行详细的介绍。</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通过近距离的参观学习和深度交流，我们深刻地感受到日本化妆品产业之所以能享誉全球，不仅因为其特的审美和高质量的标准，还因为其生产技术和市场适应性方面的卓越表现。日本企业以其专注和匠心的精神，不断优化企业的核心价值，在技术研发、流程管控、品质提升、产品多样化、绿色环保和可持续等方面都有突出的表现，值得我们为之学习和借鉴。</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江苏日化协会赴日考察交流活动取得圆满成功，此次考察不仅是一次友好的交流，更是江苏化妆品行业了解日本、了解世界美妆的一个新起点，乘着这个契机，切身了解海外化妆品行业的发展趋势，促使更多的企业与国际接轨，进一步加快中国化妆品行业的崛起。江苏日化协会将始终发挥好桥梁纽带作用，致力于整合行业资源，与各地日化企业携手共进，共赴山海。</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（来源：日化协会秘书处）</w:t>
      </w:r>
    </w:p>
    <w:p>
      <w:pPr>
        <w:ind w:left="0" w:leftChars="0" w:firstLine="0" w:firstLineChars="0"/>
      </w:pPr>
    </w:p>
    <w:p>
      <w:pPr>
        <w:ind w:left="0" w:leftChars="0" w:firstLine="0" w:firstLineChars="0"/>
      </w:pPr>
    </w:p>
    <w:p>
      <w:pPr>
        <w:keepNext w:val="0"/>
        <w:keepLines w:val="0"/>
        <w:pageBreakBefore w:val="0"/>
        <w:widowControl w:val="0"/>
        <w:kinsoku/>
        <w:wordWrap/>
        <w:overflowPunct/>
        <w:topLinePunct w:val="0"/>
        <w:autoSpaceDE/>
        <w:autoSpaceDN/>
        <w:bidi w:val="0"/>
        <w:adjustRightInd/>
        <w:snapToGrid/>
        <w:spacing w:after="157" w:afterLines="50"/>
        <w:ind w:firstLine="0" w:firstLineChars="0"/>
        <w:jc w:val="center"/>
        <w:textAlignment w:val="auto"/>
        <w:rPr>
          <w:rFonts w:hint="eastAsia" w:ascii="黑体" w:hAnsi="黑体" w:eastAsia="黑体" w:cs="黑体"/>
          <w:spacing w:val="-6"/>
          <w:sz w:val="36"/>
          <w:szCs w:val="36"/>
        </w:rPr>
      </w:pPr>
      <w:r>
        <w:rPr>
          <w:rFonts w:hint="eastAsia" w:ascii="黑体" w:hAnsi="黑体" w:eastAsia="黑体" w:cs="黑体"/>
          <w:spacing w:val="-6"/>
          <w:sz w:val="36"/>
          <w:szCs w:val="36"/>
          <w:lang w:eastAsia="zh-CN"/>
        </w:rPr>
        <w:t>江苏日化协会</w:t>
      </w:r>
      <w:r>
        <w:rPr>
          <w:rFonts w:hint="eastAsia" w:ascii="黑体" w:hAnsi="黑体" w:eastAsia="黑体" w:cs="黑体"/>
          <w:spacing w:val="-6"/>
          <w:sz w:val="36"/>
          <w:szCs w:val="36"/>
        </w:rPr>
        <w:t>团标</w:t>
      </w:r>
      <w:r>
        <w:rPr>
          <w:rFonts w:hint="eastAsia" w:ascii="黑体" w:hAnsi="黑体" w:eastAsia="黑体" w:cs="黑体"/>
          <w:spacing w:val="-6"/>
          <w:sz w:val="36"/>
          <w:szCs w:val="36"/>
          <w:lang w:eastAsia="zh-CN"/>
        </w:rPr>
        <w:t>《</w:t>
      </w:r>
      <w:r>
        <w:rPr>
          <w:rFonts w:hint="eastAsia" w:ascii="黑体" w:hAnsi="黑体" w:eastAsia="黑体" w:cs="黑体"/>
          <w:spacing w:val="-6"/>
          <w:sz w:val="36"/>
          <w:szCs w:val="36"/>
        </w:rPr>
        <w:t>油凝胶</w:t>
      </w:r>
      <w:r>
        <w:rPr>
          <w:rFonts w:hint="eastAsia" w:ascii="黑体" w:hAnsi="黑体" w:eastAsia="黑体" w:cs="黑体"/>
          <w:spacing w:val="-6"/>
          <w:sz w:val="36"/>
          <w:szCs w:val="36"/>
          <w:lang w:eastAsia="zh-CN"/>
        </w:rPr>
        <w:t>》</w:t>
      </w:r>
      <w:r>
        <w:rPr>
          <w:rFonts w:hint="eastAsia" w:ascii="黑体" w:hAnsi="黑体" w:eastAsia="黑体" w:cs="黑体"/>
          <w:spacing w:val="-6"/>
          <w:sz w:val="36"/>
          <w:szCs w:val="36"/>
          <w:lang w:val="en-US" w:eastAsia="zh-CN"/>
        </w:rPr>
        <w:t>专家</w:t>
      </w:r>
      <w:r>
        <w:rPr>
          <w:rFonts w:hint="eastAsia" w:ascii="黑体" w:hAnsi="黑体" w:eastAsia="黑体" w:cs="黑体"/>
          <w:spacing w:val="-6"/>
          <w:sz w:val="36"/>
          <w:szCs w:val="36"/>
        </w:rPr>
        <w:t>评审</w:t>
      </w:r>
      <w:r>
        <w:rPr>
          <w:rFonts w:hint="eastAsia" w:ascii="黑体" w:hAnsi="黑体" w:eastAsia="黑体" w:cs="黑体"/>
          <w:spacing w:val="-6"/>
          <w:sz w:val="36"/>
          <w:szCs w:val="36"/>
          <w:lang w:val="en-US" w:eastAsia="zh-CN"/>
        </w:rPr>
        <w:t>会议成功召开</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202</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val="en-US" w:eastAsia="zh-CN"/>
        </w:rPr>
        <w:t>油</w:t>
      </w:r>
      <w:r>
        <w:rPr>
          <w:rFonts w:hint="eastAsia" w:asciiTheme="minorEastAsia" w:hAnsiTheme="minorEastAsia" w:eastAsiaTheme="minorEastAsia" w:cstheme="minorEastAsia"/>
          <w:sz w:val="24"/>
          <w:szCs w:val="24"/>
        </w:rPr>
        <w:t>凝胶》团体标准专家评审</w:t>
      </w:r>
      <w:r>
        <w:rPr>
          <w:rFonts w:hint="eastAsia" w:asciiTheme="minorEastAsia" w:hAnsiTheme="minorEastAsia" w:eastAsiaTheme="minorEastAsia" w:cstheme="minorEastAsia"/>
          <w:sz w:val="24"/>
          <w:szCs w:val="24"/>
          <w:lang w:val="en-US" w:eastAsia="zh-CN"/>
        </w:rPr>
        <w:t>会议</w:t>
      </w:r>
      <w:r>
        <w:rPr>
          <w:rFonts w:hint="eastAsia" w:asciiTheme="minorEastAsia" w:hAnsiTheme="minorEastAsia" w:eastAsiaTheme="minorEastAsia" w:cstheme="minorEastAsia"/>
          <w:sz w:val="24"/>
          <w:szCs w:val="24"/>
        </w:rPr>
        <w:t>在江苏日化协会701会议室召开。</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此项</w:t>
      </w:r>
      <w:r>
        <w:rPr>
          <w:rFonts w:hint="eastAsia" w:asciiTheme="minorEastAsia" w:hAnsiTheme="minorEastAsia" w:eastAsiaTheme="minorEastAsia" w:cstheme="minorEastAsia"/>
          <w:sz w:val="24"/>
          <w:szCs w:val="24"/>
        </w:rPr>
        <w:t>标准由苏州蜜思肤化妆品股份有限公司于202</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提出</w:t>
      </w:r>
      <w:r>
        <w:rPr>
          <w:rFonts w:hint="eastAsia" w:asciiTheme="minorEastAsia" w:hAnsiTheme="minorEastAsia" w:eastAsiaTheme="minorEastAsia" w:cstheme="minorEastAsia"/>
          <w:sz w:val="24"/>
          <w:szCs w:val="24"/>
        </w:rPr>
        <w:t>立项申请</w:t>
      </w:r>
      <w:r>
        <w:rPr>
          <w:rFonts w:hint="eastAsia" w:asciiTheme="minorEastAsia" w:hAnsiTheme="minorEastAsia" w:eastAsiaTheme="minorEastAsia" w:cstheme="minorEastAsia"/>
          <w:sz w:val="24"/>
          <w:szCs w:val="24"/>
          <w:lang w:eastAsia="zh-CN"/>
        </w:rPr>
        <w:t>，分别于</w:t>
      </w:r>
      <w:r>
        <w:rPr>
          <w:rFonts w:hint="eastAsia" w:asciiTheme="minorEastAsia" w:hAnsiTheme="minorEastAsia" w:eastAsiaTheme="minorEastAsia" w:cstheme="minorEastAsia"/>
          <w:sz w:val="24"/>
          <w:szCs w:val="24"/>
          <w:lang w:val="en-US" w:eastAsia="zh-CN"/>
        </w:rPr>
        <w:t>4月26日、6月14日召开了两次制定和修改会议，并于6月24日发出了征求意见稿，向行业广泛征集意见</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本次评审</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特聘请了</w:t>
      </w:r>
      <w:r>
        <w:rPr>
          <w:rFonts w:hint="eastAsia" w:asciiTheme="minorEastAsia" w:hAnsiTheme="minorEastAsia" w:eastAsiaTheme="minorEastAsia" w:cstheme="minorEastAsia"/>
          <w:sz w:val="24"/>
          <w:szCs w:val="24"/>
        </w:rPr>
        <w:t>中华供销合作总社南京野生植物综合利用研究所日化研究室副主任</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研究员单承莺</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苏州海关综合技术中心主任</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高级工程师朱振华</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苏州大学分析测试中心主任</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高级工程师姚志刚</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辉达生物医药（苏州）有限公司总经理</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中级工程师严泽民</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苏州清馨健康科技有限公司副总经理</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中级工程师周建青</w:t>
      </w:r>
      <w:r>
        <w:rPr>
          <w:rFonts w:hint="eastAsia" w:asciiTheme="minorEastAsia" w:hAnsiTheme="minorEastAsia" w:eastAsiaTheme="minorEastAsia" w:cstheme="minorEastAsia"/>
          <w:sz w:val="24"/>
          <w:szCs w:val="24"/>
          <w:lang w:eastAsia="zh-CN"/>
        </w:rPr>
        <w:t>组成评审</w:t>
      </w:r>
      <w:r>
        <w:rPr>
          <w:rFonts w:hint="eastAsia" w:asciiTheme="minorEastAsia" w:hAnsiTheme="minorEastAsia" w:eastAsiaTheme="minorEastAsia" w:cstheme="minorEastAsia"/>
          <w:sz w:val="24"/>
          <w:szCs w:val="24"/>
          <w:lang w:val="en-US" w:eastAsia="zh-CN"/>
        </w:rPr>
        <w:t>专家组，由</w:t>
      </w:r>
      <w:r>
        <w:rPr>
          <w:rFonts w:hint="eastAsia" w:asciiTheme="minorEastAsia" w:hAnsiTheme="minorEastAsia" w:eastAsiaTheme="minorEastAsia" w:cstheme="minorEastAsia"/>
          <w:sz w:val="24"/>
          <w:szCs w:val="24"/>
        </w:rPr>
        <w:t>单承莺</w:t>
      </w:r>
      <w:r>
        <w:rPr>
          <w:rFonts w:hint="eastAsia" w:asciiTheme="minorEastAsia" w:hAnsiTheme="minorEastAsia" w:eastAsiaTheme="minorEastAsia" w:cstheme="minorEastAsia"/>
          <w:sz w:val="24"/>
          <w:szCs w:val="24"/>
          <w:lang w:eastAsia="zh-CN"/>
        </w:rPr>
        <w:t>博士担任专家组组长</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江苏日化协会标委会秘书长陈艾</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苏州蜜思肤化妆品股份</w:t>
      </w:r>
      <w:r>
        <w:rPr>
          <w:rFonts w:hint="eastAsia" w:asciiTheme="minorEastAsia" w:hAnsiTheme="minorEastAsia" w:eastAsiaTheme="minorEastAsia" w:cstheme="minorEastAsia"/>
          <w:sz w:val="24"/>
          <w:szCs w:val="24"/>
          <w:lang w:val="en-US" w:eastAsia="zh-CN"/>
        </w:rPr>
        <w:t>有限公司总监刘敏</w:t>
      </w:r>
      <w:r>
        <w:rPr>
          <w:rFonts w:hint="eastAsia" w:asciiTheme="minorEastAsia" w:hAnsiTheme="minorEastAsia" w:eastAsiaTheme="minorEastAsia" w:cstheme="minorEastAsia"/>
          <w:sz w:val="24"/>
          <w:szCs w:val="24"/>
        </w:rPr>
        <w:t>作为团标起草小组成员代表</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负责</w:t>
      </w:r>
      <w:r>
        <w:rPr>
          <w:rFonts w:hint="eastAsia" w:asciiTheme="minorEastAsia" w:hAnsiTheme="minorEastAsia" w:eastAsiaTheme="minorEastAsia" w:cstheme="minorEastAsia"/>
          <w:sz w:val="24"/>
          <w:szCs w:val="24"/>
        </w:rPr>
        <w:t>解答专家</w:t>
      </w:r>
      <w:r>
        <w:rPr>
          <w:rFonts w:hint="eastAsia" w:asciiTheme="minorEastAsia" w:hAnsiTheme="minorEastAsia" w:eastAsiaTheme="minorEastAsia" w:cstheme="minorEastAsia"/>
          <w:sz w:val="24"/>
          <w:szCs w:val="24"/>
          <w:lang w:val="en-US" w:eastAsia="zh-CN"/>
        </w:rPr>
        <w:t>提问。</w:t>
      </w:r>
      <w:r>
        <w:rPr>
          <w:rFonts w:hint="eastAsia" w:asciiTheme="minorEastAsia" w:hAnsiTheme="minorEastAsia" w:eastAsiaTheme="minorEastAsia" w:cstheme="minorEastAsia"/>
          <w:sz w:val="24"/>
          <w:szCs w:val="24"/>
        </w:rPr>
        <w:t>协会秘书</w:t>
      </w:r>
      <w:r>
        <w:rPr>
          <w:rFonts w:hint="eastAsia" w:asciiTheme="minorEastAsia" w:hAnsiTheme="minorEastAsia" w:eastAsiaTheme="minorEastAsia" w:cstheme="minorEastAsia"/>
          <w:sz w:val="24"/>
          <w:szCs w:val="24"/>
          <w:lang w:eastAsia="zh-CN"/>
        </w:rPr>
        <w:t>处列席</w:t>
      </w:r>
      <w:r>
        <w:rPr>
          <w:rFonts w:hint="eastAsia" w:asciiTheme="minorEastAsia" w:hAnsiTheme="minorEastAsia" w:eastAsiaTheme="minorEastAsia" w:cstheme="minorEastAsia"/>
          <w:sz w:val="24"/>
          <w:szCs w:val="24"/>
        </w:rPr>
        <w:t>会议。</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会上，</w:t>
      </w:r>
      <w:r>
        <w:rPr>
          <w:rFonts w:hint="eastAsia" w:asciiTheme="minorEastAsia" w:hAnsiTheme="minorEastAsia" w:eastAsiaTheme="minorEastAsia" w:cstheme="minorEastAsia"/>
          <w:sz w:val="24"/>
          <w:szCs w:val="24"/>
          <w:lang w:val="en-US" w:eastAsia="zh-CN"/>
        </w:rPr>
        <w:t>五位专家对标准内容进行了严格地审核，</w:t>
      </w:r>
      <w:r>
        <w:rPr>
          <w:rFonts w:hint="eastAsia" w:asciiTheme="minorEastAsia" w:hAnsiTheme="minorEastAsia" w:eastAsiaTheme="minorEastAsia" w:cstheme="minorEastAsia"/>
          <w:sz w:val="24"/>
          <w:szCs w:val="24"/>
        </w:rPr>
        <w:t>各抒己见。经过</w:t>
      </w:r>
      <w:r>
        <w:rPr>
          <w:rFonts w:hint="eastAsia" w:asciiTheme="minorEastAsia" w:hAnsiTheme="minorEastAsia" w:eastAsiaTheme="minorEastAsia" w:cstheme="minorEastAsia"/>
          <w:sz w:val="24"/>
          <w:szCs w:val="24"/>
          <w:lang w:val="en-US" w:eastAsia="zh-CN"/>
        </w:rPr>
        <w:t>充分讨论，形成一致的</w:t>
      </w:r>
      <w:r>
        <w:rPr>
          <w:rFonts w:hint="eastAsia" w:asciiTheme="minorEastAsia" w:hAnsiTheme="minorEastAsia" w:eastAsiaTheme="minorEastAsia" w:cstheme="minorEastAsia"/>
          <w:sz w:val="24"/>
          <w:szCs w:val="24"/>
        </w:rPr>
        <w:t>评审意见：1、标准</w:t>
      </w:r>
      <w:r>
        <w:rPr>
          <w:rFonts w:hint="eastAsia" w:asciiTheme="minorEastAsia" w:hAnsiTheme="minorEastAsia" w:eastAsiaTheme="minorEastAsia" w:cstheme="minorEastAsia"/>
          <w:sz w:val="24"/>
          <w:szCs w:val="24"/>
          <w:lang w:val="en-US" w:eastAsia="zh-CN"/>
        </w:rPr>
        <w:t>送审材料齐备、标准编写符合GB/T1.1-2020的要求。2、标准编制内容科学、依据充分、符合我国法律法规，与相关标准协调一致。3、与会专家一致同意团标编写小组按专家意见和建议修改并经专家确认后上报备案。</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会后，团标编制组将依据专家意见</w:t>
      </w:r>
      <w:r>
        <w:rPr>
          <w:rFonts w:hint="eastAsia" w:asciiTheme="minorEastAsia" w:hAnsiTheme="minorEastAsia" w:eastAsiaTheme="minorEastAsia" w:cstheme="minorEastAsia"/>
          <w:sz w:val="24"/>
          <w:szCs w:val="24"/>
          <w:lang w:val="en-US" w:eastAsia="zh-CN"/>
        </w:rPr>
        <w:t>对该</w:t>
      </w:r>
      <w:r>
        <w:rPr>
          <w:rFonts w:hint="eastAsia" w:asciiTheme="minorEastAsia" w:hAnsiTheme="minorEastAsia" w:eastAsiaTheme="minorEastAsia" w:cstheme="minorEastAsia"/>
          <w:sz w:val="24"/>
          <w:szCs w:val="24"/>
        </w:rPr>
        <w:t>标准</w:t>
      </w:r>
      <w:r>
        <w:rPr>
          <w:rFonts w:hint="eastAsia" w:asciiTheme="minorEastAsia" w:hAnsiTheme="minorEastAsia" w:eastAsiaTheme="minorEastAsia" w:cstheme="minorEastAsia"/>
          <w:sz w:val="24"/>
          <w:szCs w:val="24"/>
          <w:lang w:val="en-US" w:eastAsia="zh-CN"/>
        </w:rPr>
        <w:t>进行</w:t>
      </w:r>
      <w:r>
        <w:rPr>
          <w:rFonts w:hint="eastAsia" w:asciiTheme="minorEastAsia" w:hAnsiTheme="minorEastAsia" w:eastAsiaTheme="minorEastAsia" w:cstheme="minorEastAsia"/>
          <w:sz w:val="24"/>
          <w:szCs w:val="24"/>
        </w:rPr>
        <w:t>再次修订，修订</w:t>
      </w:r>
      <w:r>
        <w:rPr>
          <w:rFonts w:hint="eastAsia" w:asciiTheme="minorEastAsia" w:hAnsiTheme="minorEastAsia" w:eastAsiaTheme="minorEastAsia" w:cstheme="minorEastAsia"/>
          <w:sz w:val="24"/>
          <w:szCs w:val="24"/>
          <w:lang w:val="en-US" w:eastAsia="zh-CN"/>
        </w:rPr>
        <w:t>完成</w:t>
      </w:r>
      <w:r>
        <w:rPr>
          <w:rFonts w:hint="eastAsia" w:asciiTheme="minorEastAsia" w:hAnsiTheme="minorEastAsia" w:eastAsiaTheme="minorEastAsia" w:cstheme="minorEastAsia"/>
          <w:sz w:val="24"/>
          <w:szCs w:val="24"/>
        </w:rPr>
        <w:t>后形成标准文本报批稿</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上报审批</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审批通过后</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即可</w:t>
      </w:r>
      <w:r>
        <w:rPr>
          <w:rFonts w:hint="eastAsia" w:asciiTheme="minorEastAsia" w:hAnsiTheme="minorEastAsia" w:eastAsiaTheme="minorEastAsia" w:cstheme="minorEastAsia"/>
          <w:sz w:val="24"/>
          <w:szCs w:val="24"/>
          <w:lang w:val="en-US" w:eastAsia="zh-CN"/>
        </w:rPr>
        <w:t>正式</w:t>
      </w:r>
      <w:r>
        <w:rPr>
          <w:rFonts w:hint="eastAsia" w:asciiTheme="minorEastAsia" w:hAnsiTheme="minorEastAsia" w:eastAsiaTheme="minorEastAsia" w:cstheme="minorEastAsia"/>
          <w:sz w:val="24"/>
          <w:szCs w:val="24"/>
        </w:rPr>
        <w:t>发布。</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此次会议的成功召开，不仅意味着化妆品行业又添一项新团标，更是对我国化妆品标准化建设工作的有力促进。协会将继续努力为日化行业的高质量发展添砖加瓦。</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jc w:val="right"/>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（来源：日化协会秘书处）</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jc w:val="right"/>
        <w:textAlignment w:val="auto"/>
        <w:rPr>
          <w:rFonts w:hint="eastAsia"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val="0"/>
        <w:autoSpaceDN w:val="0"/>
        <w:bidi w:val="0"/>
        <w:adjustRightInd w:val="0"/>
        <w:snapToGrid/>
        <w:spacing w:line="560" w:lineRule="exact"/>
        <w:ind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关</w:t>
      </w:r>
      <w:r>
        <w:rPr>
          <w:rFonts w:hint="eastAsia" w:ascii="黑体" w:hAnsi="黑体" w:eastAsia="黑体" w:cs="黑体"/>
          <w:sz w:val="36"/>
          <w:szCs w:val="36"/>
          <w:lang w:val="en-US" w:eastAsia="zh-CN"/>
        </w:rPr>
        <w:t>于组织参加</w:t>
      </w:r>
      <w:r>
        <w:rPr>
          <w:rFonts w:hint="eastAsia" w:ascii="黑体" w:hAnsi="黑体" w:eastAsia="黑体" w:cs="黑体"/>
          <w:sz w:val="36"/>
          <w:szCs w:val="36"/>
        </w:rPr>
        <w:t>2024中国香料香精化妆品行业年会</w:t>
      </w:r>
    </w:p>
    <w:p>
      <w:pPr>
        <w:keepNext w:val="0"/>
        <w:keepLines w:val="0"/>
        <w:pageBreakBefore w:val="0"/>
        <w:widowControl w:val="0"/>
        <w:kinsoku/>
        <w:wordWrap/>
        <w:overflowPunct/>
        <w:topLinePunct w:val="0"/>
        <w:autoSpaceDE w:val="0"/>
        <w:autoSpaceDN w:val="0"/>
        <w:bidi w:val="0"/>
        <w:adjustRightInd w:val="0"/>
        <w:snapToGrid/>
        <w:spacing w:line="560" w:lineRule="exact"/>
        <w:ind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暨产业博览会的通知</w:t>
      </w:r>
    </w:p>
    <w:p>
      <w:pPr>
        <w:keepNext w:val="0"/>
        <w:keepLines w:val="0"/>
        <w:pageBreakBefore w:val="0"/>
        <w:widowControl w:val="0"/>
        <w:kinsoku/>
        <w:wordWrap/>
        <w:overflowPunct/>
        <w:topLinePunct w:val="0"/>
        <w:autoSpaceDE w:val="0"/>
        <w:autoSpaceDN w:val="0"/>
        <w:bidi w:val="0"/>
        <w:adjustRightInd w:val="0"/>
        <w:snapToGrid/>
        <w:spacing w:after="0" w:afterLines="50"/>
        <w:ind w:firstLine="0" w:firstLineChars="0"/>
        <w:jc w:val="center"/>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苏日化协﹝2024﹞20号</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left="0" w:leftChars="0" w:firstLine="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各有关单位：</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2024年是中华人民共和国成立75周年，是实现“十四五”规划目标任务的关键一年，也是中国香料香精化妆品工业协会（以下简称“中国香化协会”)成立四十周年。四十年来，香化行业风甫兼程，奋发图强，取得了辉煌的成就。</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为落实贯彻中央经济工作会议和全国两会精神，促进健康消费提质升级，培育香化行业新质生产力，推动产业高质量发展，集中体现行业成果，展示行业发展历程，中国香化协会拟于2024年10月1</w:t>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日－19日在南京市举办2024中国香料香精化妆品行业年会暨产业博览会（以下简称：“年会暨博览会”)。现将有关事项通知如下：</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一、举办单位</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主办单位：中国香料香精化妆品工业协会</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联合主办：国药励展展览有限责任公司（以下简称“国药励展”)</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二、时间安排</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10月17日－10月19日</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三、举办地点</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年会暨博览会会议地点：南京国际博览中心</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地址</w:t>
      </w:r>
      <w:r>
        <w:rPr>
          <w:rFonts w:hint="eastAsia" w:asciiTheme="minorEastAsia" w:hAnsiTheme="minorEastAsia" w:eastAsiaTheme="minorEastAsia" w:cstheme="minorEastAsia"/>
          <w:b w:val="0"/>
          <w:bCs/>
          <w:sz w:val="24"/>
          <w:szCs w:val="24"/>
          <w:lang w:eastAsia="zh-CN"/>
        </w:rPr>
        <w:t>：</w:t>
      </w:r>
      <w:r>
        <w:rPr>
          <w:rFonts w:hint="eastAsia" w:asciiTheme="minorEastAsia" w:hAnsiTheme="minorEastAsia" w:eastAsiaTheme="minorEastAsia" w:cstheme="minorEastAsia"/>
          <w:b w:val="0"/>
          <w:bCs/>
          <w:sz w:val="24"/>
          <w:szCs w:val="24"/>
        </w:rPr>
        <w:t>南京市建邺区江东中路300号</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理事会会议地点：南京丰大国际大酒店</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地址</w:t>
      </w:r>
      <w:r>
        <w:rPr>
          <w:rFonts w:hint="eastAsia" w:asciiTheme="minorEastAsia" w:hAnsiTheme="minorEastAsia" w:eastAsiaTheme="minorEastAsia" w:cstheme="minorEastAsia"/>
          <w:b w:val="0"/>
          <w:bCs/>
          <w:sz w:val="24"/>
          <w:szCs w:val="24"/>
          <w:lang w:eastAsia="zh-CN"/>
        </w:rPr>
        <w:t>：</w:t>
      </w:r>
      <w:r>
        <w:rPr>
          <w:rFonts w:hint="eastAsia" w:asciiTheme="minorEastAsia" w:hAnsiTheme="minorEastAsia" w:eastAsiaTheme="minorEastAsia" w:cstheme="minorEastAsia"/>
          <w:b w:val="0"/>
          <w:bCs/>
          <w:sz w:val="24"/>
          <w:szCs w:val="24"/>
        </w:rPr>
        <w:t>江苏省南京市浦口区城南河路89号</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四、诚邀人员及单位</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本次活动拟邀请业内外相关领导、专家、企业家、有关人士等参加，包括但不限于：</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一</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政府有关部门</w:t>
      </w:r>
      <w:r>
        <w:rPr>
          <w:rFonts w:hint="eastAsia" w:asciiTheme="minorEastAsia" w:hAnsiTheme="minorEastAsia" w:eastAsiaTheme="minorEastAsia" w:cstheme="minorEastAsia"/>
          <w:b w:val="0"/>
          <w:bCs/>
          <w:spacing w:val="-57"/>
          <w:sz w:val="24"/>
          <w:szCs w:val="24"/>
        </w:rPr>
        <w:t>；</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二</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行业内外知名专家</w:t>
      </w:r>
      <w:r>
        <w:rPr>
          <w:rFonts w:hint="eastAsia" w:asciiTheme="minorEastAsia" w:hAnsiTheme="minorEastAsia" w:eastAsiaTheme="minorEastAsia" w:cstheme="minorEastAsia"/>
          <w:b w:val="0"/>
          <w:bCs/>
          <w:spacing w:val="-57"/>
          <w:sz w:val="24"/>
          <w:szCs w:val="24"/>
        </w:rPr>
        <w:t>；</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三</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大专院校、科研院所</w:t>
      </w:r>
      <w:r>
        <w:rPr>
          <w:rFonts w:hint="eastAsia" w:asciiTheme="minorEastAsia" w:hAnsiTheme="minorEastAsia" w:eastAsiaTheme="minorEastAsia" w:cstheme="minorEastAsia"/>
          <w:b w:val="0"/>
          <w:bCs/>
          <w:spacing w:val="-57"/>
          <w:sz w:val="24"/>
          <w:szCs w:val="24"/>
        </w:rPr>
        <w:t>；</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四</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香化行业生产企业、原料企业、包材设备企业，经销商、代理商、电商平台，美容院线，检测服务机构、技术服务机构等全产业链关联企业和部门</w:t>
      </w:r>
      <w:r>
        <w:rPr>
          <w:rFonts w:hint="eastAsia" w:asciiTheme="minorEastAsia" w:hAnsiTheme="minorEastAsia" w:eastAsiaTheme="minorEastAsia" w:cstheme="minorEastAsia"/>
          <w:b w:val="0"/>
          <w:bCs/>
          <w:spacing w:val="-57"/>
          <w:sz w:val="24"/>
          <w:szCs w:val="24"/>
        </w:rPr>
        <w:t>；</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五</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国内外相关行业组织</w:t>
      </w:r>
      <w:r>
        <w:rPr>
          <w:rFonts w:hint="eastAsia" w:asciiTheme="minorEastAsia" w:hAnsiTheme="minorEastAsia" w:eastAsiaTheme="minorEastAsia" w:cstheme="minorEastAsia"/>
          <w:b w:val="0"/>
          <w:bCs/>
          <w:spacing w:val="-57"/>
          <w:sz w:val="24"/>
          <w:szCs w:val="24"/>
        </w:rPr>
        <w:t>；</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六</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新闻媒体</w:t>
      </w:r>
      <w:r>
        <w:rPr>
          <w:rFonts w:hint="eastAsia" w:asciiTheme="minorEastAsia" w:hAnsiTheme="minorEastAsia" w:eastAsiaTheme="minorEastAsia" w:cstheme="minorEastAsia"/>
          <w:b w:val="0"/>
          <w:bCs/>
          <w:spacing w:val="-57"/>
          <w:sz w:val="24"/>
          <w:szCs w:val="24"/>
          <w:lang w:eastAsia="zh-CN"/>
        </w:rPr>
        <w:t>；</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七</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其他相关单位</w:t>
      </w:r>
      <w:r>
        <w:rPr>
          <w:rFonts w:hint="eastAsia" w:asciiTheme="minorEastAsia" w:hAnsiTheme="minorEastAsia" w:eastAsiaTheme="minorEastAsia" w:cstheme="minorEastAsia"/>
          <w:b w:val="0"/>
          <w:bCs/>
          <w:spacing w:val="-57"/>
          <w:sz w:val="24"/>
          <w:szCs w:val="24"/>
        </w:rPr>
        <w:t>。</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五、会议日程（暂定）</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（一）博览会</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10月16-17日展商报到搭建，地点</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南京国际博览中心；</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10月18-19日博览会。</w:t>
      </w:r>
    </w:p>
    <w:p>
      <w:pPr>
        <w:keepNext w:val="0"/>
        <w:keepLines w:val="0"/>
        <w:pageBreakBefore w:val="0"/>
        <w:widowControl w:val="0"/>
        <w:numPr>
          <w:ilvl w:val="0"/>
          <w:numId w:val="3"/>
        </w:numPr>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理事会</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10月17日下午14点前理事会成员报到，地点</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南京丰大国际大酒店；</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10月17日下午15点召开第九届常务理事会第五次会议第九届理事会第三次会议。</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（三）年会</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10月17日会议代表报到</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10月18日大会开幕式、宏观经济形势报告会、国际交流会议、行业信息发布会、大会分论坛、政策技术闭门会（邀请参加）、香妆盛典·四十而新等会议活动；</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10月19日大会分论坛、企业会、新品发布会、美丽大赏、香气流行趋势发布会、彩妆流行趋势发布会、香料评鉴会等。</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六、部分论坛及活动（暂定，以现场会议指南为准）</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主论坛：国内经济形势分析、国际经济形势分析、行业发展趋势分析，产业政策分析等；</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化妆品分论坛：化妆品创新和安全评估技术论坛、医研共创论坛、电商生态发展论坛、精准护肤论坛、</w:t>
      </w:r>
      <w:r>
        <w:rPr>
          <w:rFonts w:hint="eastAsia" w:asciiTheme="minorEastAsia" w:hAnsiTheme="minorEastAsia" w:eastAsiaTheme="minorEastAsia" w:cstheme="minorEastAsia"/>
          <w:b w:val="0"/>
          <w:bCs/>
          <w:sz w:val="24"/>
          <w:szCs w:val="24"/>
          <w:lang w:val="en-US" w:eastAsia="zh-CN"/>
        </w:rPr>
        <w:t>国</w:t>
      </w:r>
      <w:r>
        <w:rPr>
          <w:rFonts w:hint="eastAsia" w:asciiTheme="minorEastAsia" w:hAnsiTheme="minorEastAsia" w:eastAsiaTheme="minorEastAsia" w:cstheme="minorEastAsia"/>
          <w:b w:val="0"/>
          <w:bCs/>
          <w:sz w:val="24"/>
          <w:szCs w:val="24"/>
        </w:rPr>
        <w:t>际化妆品高层论坛等；</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香料香精分论坛：第十八届中国香料香精高层论坛、食品用香料安全性研讨论坛等；</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综合性论坛：香化行业ESG可持续发展论坛、长青论坛、检验检测新技术交流、香妆文化融合发展论坛等；</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同期还将举办企业会30+、第一届全国大学生调香技能大赛决赛</w:t>
      </w:r>
      <w:r>
        <w:rPr>
          <w:rFonts w:hint="eastAsia" w:asciiTheme="minorEastAsia" w:hAnsiTheme="minorEastAsia" w:eastAsiaTheme="minorEastAsia" w:cstheme="minorEastAsia"/>
          <w:b w:val="0"/>
          <w:bCs/>
          <w:sz w:val="24"/>
          <w:szCs w:val="24"/>
          <w:lang w:eastAsia="zh-CN"/>
        </w:rPr>
        <w:t>、</w:t>
      </w:r>
      <w:r>
        <w:rPr>
          <w:rFonts w:hint="eastAsia" w:asciiTheme="minorEastAsia" w:hAnsiTheme="minorEastAsia" w:eastAsiaTheme="minorEastAsia" w:cstheme="minorEastAsia"/>
          <w:b w:val="0"/>
          <w:bCs/>
          <w:sz w:val="24"/>
          <w:szCs w:val="24"/>
        </w:rPr>
        <w:t>40年时光长廊、消费者开放日等丰富多彩的活动。</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七、</w:t>
      </w:r>
      <w:r>
        <w:rPr>
          <w:rFonts w:hint="eastAsia" w:asciiTheme="minorEastAsia" w:hAnsiTheme="minorEastAsia" w:eastAsiaTheme="minorEastAsia" w:cstheme="minorEastAsia"/>
          <w:b w:val="0"/>
          <w:bCs/>
          <w:sz w:val="24"/>
          <w:szCs w:val="24"/>
          <w:lang w:val="en-US" w:eastAsia="zh-CN"/>
        </w:rPr>
        <w:t>年会</w:t>
      </w:r>
      <w:r>
        <w:rPr>
          <w:rFonts w:hint="eastAsia" w:asciiTheme="minorEastAsia" w:hAnsiTheme="minorEastAsia" w:eastAsiaTheme="minorEastAsia" w:cstheme="minorEastAsia"/>
          <w:b w:val="0"/>
          <w:bCs/>
          <w:sz w:val="24"/>
          <w:szCs w:val="24"/>
        </w:rPr>
        <w:t>报名注册</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val="0"/>
          <w:bCs/>
          <w:sz w:val="24"/>
          <w:szCs w:val="24"/>
          <w:lang w:eastAsia="zh-CN"/>
        </w:rPr>
        <w:t>（</w:t>
      </w:r>
      <w:r>
        <w:rPr>
          <w:rFonts w:hint="eastAsia" w:asciiTheme="minorEastAsia" w:hAnsiTheme="minorEastAsia" w:eastAsiaTheme="minorEastAsia" w:cstheme="minorEastAsia"/>
          <w:b w:val="0"/>
          <w:bCs/>
          <w:sz w:val="24"/>
          <w:szCs w:val="24"/>
          <w:lang w:val="en-US" w:eastAsia="zh-CN"/>
        </w:rPr>
        <w:t>一</w:t>
      </w:r>
      <w:r>
        <w:rPr>
          <w:rFonts w:hint="eastAsia" w:asciiTheme="minorEastAsia" w:hAnsiTheme="minorEastAsia" w:eastAsiaTheme="minorEastAsia" w:cstheme="minorEastAsia"/>
          <w:b w:val="0"/>
          <w:bCs/>
          <w:sz w:val="24"/>
          <w:szCs w:val="24"/>
          <w:lang w:eastAsia="zh-CN"/>
        </w:rPr>
        <w:t>）</w:t>
      </w:r>
      <w:r>
        <w:rPr>
          <w:rFonts w:hint="eastAsia" w:asciiTheme="minorEastAsia" w:hAnsiTheme="minorEastAsia" w:eastAsiaTheme="minorEastAsia" w:cstheme="minorEastAsia"/>
          <w:b w:val="0"/>
          <w:bCs/>
          <w:sz w:val="24"/>
          <w:szCs w:val="24"/>
          <w:lang w:val="en-US" w:eastAsia="zh-CN"/>
        </w:rPr>
        <w:t>本会会员</w:t>
      </w:r>
      <w:r>
        <w:rPr>
          <w:rFonts w:hint="eastAsia" w:asciiTheme="minorEastAsia" w:hAnsiTheme="minorEastAsia" w:eastAsiaTheme="minorEastAsia" w:cstheme="minorEastAsia"/>
          <w:b w:val="0"/>
          <w:bCs/>
          <w:sz w:val="24"/>
          <w:szCs w:val="24"/>
        </w:rPr>
        <w:t>报名注册</w:t>
      </w:r>
      <w:r>
        <w:rPr>
          <w:rFonts w:hint="eastAsia" w:asciiTheme="minorEastAsia" w:hAnsiTheme="minorEastAsia" w:eastAsiaTheme="minorEastAsia" w:cstheme="minorEastAsia"/>
          <w:b w:val="0"/>
          <w:bCs/>
          <w:sz w:val="24"/>
          <w:szCs w:val="24"/>
          <w:lang w:val="en-US" w:eastAsia="zh-CN"/>
        </w:rPr>
        <w:t>费用：2600元/人，报名截止日期：2024年10月10日。</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（二）参</w:t>
      </w:r>
      <w:r>
        <w:rPr>
          <w:rFonts w:hint="eastAsia" w:asciiTheme="minorEastAsia" w:hAnsiTheme="minorEastAsia" w:eastAsiaTheme="minorEastAsia" w:cstheme="minorEastAsia"/>
          <w:b w:val="0"/>
          <w:bCs/>
          <w:sz w:val="24"/>
          <w:szCs w:val="24"/>
          <w:lang w:val="en-US" w:eastAsia="zh-CN"/>
        </w:rPr>
        <w:t>加年会</w:t>
      </w:r>
      <w:r>
        <w:rPr>
          <w:rFonts w:hint="eastAsia" w:asciiTheme="minorEastAsia" w:hAnsiTheme="minorEastAsia" w:eastAsiaTheme="minorEastAsia" w:cstheme="minorEastAsia"/>
          <w:b w:val="0"/>
          <w:bCs/>
          <w:sz w:val="24"/>
          <w:szCs w:val="24"/>
        </w:rPr>
        <w:t>代表</w:t>
      </w:r>
      <w:r>
        <w:rPr>
          <w:rFonts w:hint="eastAsia" w:asciiTheme="minorEastAsia" w:hAnsiTheme="minorEastAsia" w:eastAsiaTheme="minorEastAsia" w:cstheme="minorEastAsia"/>
          <w:b w:val="0"/>
          <w:bCs/>
          <w:sz w:val="24"/>
          <w:szCs w:val="24"/>
          <w:lang w:val="en-US" w:eastAsia="zh-CN"/>
        </w:rPr>
        <w:t>的</w:t>
      </w:r>
      <w:r>
        <w:rPr>
          <w:rFonts w:hint="eastAsia" w:asciiTheme="minorEastAsia" w:hAnsiTheme="minorEastAsia" w:eastAsiaTheme="minorEastAsia" w:cstheme="minorEastAsia"/>
          <w:b w:val="0"/>
          <w:bCs/>
          <w:sz w:val="24"/>
          <w:szCs w:val="24"/>
        </w:rPr>
        <w:t>权益</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lang w:val="en-US" w:eastAsia="zh-CN"/>
        </w:rPr>
        <w:t>1.</w:t>
      </w:r>
      <w:r>
        <w:rPr>
          <w:rFonts w:hint="eastAsia" w:asciiTheme="minorEastAsia" w:hAnsiTheme="minorEastAsia" w:eastAsiaTheme="minorEastAsia" w:cstheme="minorEastAsia"/>
          <w:b w:val="0"/>
          <w:bCs/>
          <w:sz w:val="24"/>
          <w:szCs w:val="24"/>
        </w:rPr>
        <w:t>可参加年会所有论坛场次、各项发布活动及参观展览</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不含闭门会</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lang w:val="en-US" w:eastAsia="zh-CN"/>
        </w:rPr>
        <w:t>2.</w:t>
      </w:r>
      <w:r>
        <w:rPr>
          <w:rFonts w:hint="eastAsia" w:asciiTheme="minorEastAsia" w:hAnsiTheme="minorEastAsia" w:eastAsiaTheme="minorEastAsia" w:cstheme="minorEastAsia"/>
          <w:b w:val="0"/>
          <w:bCs/>
          <w:sz w:val="24"/>
          <w:szCs w:val="24"/>
        </w:rPr>
        <w:t>含资料费及2中2晚</w:t>
      </w:r>
      <w:r>
        <w:rPr>
          <w:rFonts w:hint="eastAsia" w:asciiTheme="minorEastAsia" w:hAnsiTheme="minorEastAsia" w:eastAsiaTheme="minorEastAsia" w:cstheme="minorEastAsia"/>
          <w:b w:val="0"/>
          <w:bCs/>
          <w:sz w:val="24"/>
          <w:szCs w:val="24"/>
          <w:lang w:val="en-US" w:eastAsia="zh-CN"/>
        </w:rPr>
        <w:t>餐</w:t>
      </w:r>
      <w:r>
        <w:rPr>
          <w:rFonts w:hint="eastAsia" w:asciiTheme="minorEastAsia" w:hAnsiTheme="minorEastAsia" w:eastAsiaTheme="minorEastAsia" w:cstheme="minorEastAsia"/>
          <w:b w:val="0"/>
          <w:bCs/>
          <w:sz w:val="24"/>
          <w:szCs w:val="24"/>
        </w:rPr>
        <w:t>费。</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（三）报名方式</w:t>
      </w:r>
    </w:p>
    <w:p>
      <w:pPr>
        <w:keepNext w:val="0"/>
        <w:keepLines w:val="0"/>
        <w:pageBreakBefore w:val="0"/>
        <w:widowControl w:val="0"/>
        <w:kinsoku/>
        <w:wordWrap/>
        <w:overflowPunct/>
        <w:topLinePunct w:val="0"/>
        <w:autoSpaceDE w:val="0"/>
        <w:autoSpaceDN w:val="0"/>
        <w:bidi w:val="0"/>
        <w:adjustRightInd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请扫码报名：</w:t>
      </w:r>
    </w:p>
    <w:p>
      <w:pPr>
        <w:keepNext w:val="0"/>
        <w:keepLines w:val="0"/>
        <w:pageBreakBefore w:val="0"/>
        <w:widowControl w:val="0"/>
        <w:kinsoku/>
        <w:wordWrap/>
        <w:overflowPunct/>
        <w:topLinePunct w:val="0"/>
        <w:bidi w:val="0"/>
        <w:snapToGrid/>
        <w:spacing w:beforeLines="0" w:afterLines="0" w:line="400" w:lineRule="atLeast"/>
        <w:ind w:firstLine="480" w:firstLineChars="200"/>
        <w:jc w:val="center"/>
        <w:textAlignment w:val="auto"/>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val="0"/>
          <w:bCs/>
          <w:sz w:val="24"/>
          <w:szCs w:val="24"/>
        </w:rPr>
        <w:drawing>
          <wp:inline distT="0" distB="0" distL="114300" distR="114300">
            <wp:extent cx="697230" cy="697230"/>
            <wp:effectExtent l="0" t="0" r="7620" b="7620"/>
            <wp:docPr id="2"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IMG_256"/>
                    <pic:cNvPicPr>
                      <a:picLocks noChangeAspect="1"/>
                    </pic:cNvPicPr>
                  </pic:nvPicPr>
                  <pic:blipFill>
                    <a:blip r:embed="rId7"/>
                    <a:stretch>
                      <a:fillRect/>
                    </a:stretch>
                  </pic:blipFill>
                  <pic:spPr>
                    <a:xfrm>
                      <a:off x="0" y="0"/>
                      <a:ext cx="697230" cy="697230"/>
                    </a:xfrm>
                    <a:prstGeom prst="rect">
                      <a:avLst/>
                    </a:prstGeom>
                    <a:noFill/>
                    <a:ln>
                      <a:noFill/>
                    </a:ln>
                  </pic:spPr>
                </pic:pic>
              </a:graphicData>
            </a:graphic>
          </wp:inline>
        </w:drawing>
      </w:r>
      <w:r>
        <w:rPr>
          <w:rFonts w:hint="eastAsia" w:asciiTheme="minorEastAsia" w:hAnsiTheme="minorEastAsia" w:eastAsiaTheme="minorEastAsia" w:cstheme="minorEastAsia"/>
          <w:b w:val="0"/>
          <w:bCs/>
          <w:sz w:val="24"/>
          <w:szCs w:val="24"/>
          <w:lang w:eastAsia="zh-CN"/>
        </w:rPr>
        <w:t>（</w:t>
      </w:r>
      <w:r>
        <w:rPr>
          <w:rFonts w:hint="eastAsia" w:asciiTheme="minorEastAsia" w:hAnsiTheme="minorEastAsia" w:eastAsiaTheme="minorEastAsia" w:cstheme="minorEastAsia"/>
          <w:b w:val="0"/>
          <w:bCs/>
          <w:sz w:val="24"/>
          <w:szCs w:val="24"/>
          <w:lang w:val="en-US" w:eastAsia="zh-CN"/>
        </w:rPr>
        <w:t>年会及博览会</w:t>
      </w:r>
      <w:r>
        <w:rPr>
          <w:rFonts w:hint="eastAsia" w:asciiTheme="minorEastAsia" w:hAnsiTheme="minorEastAsia" w:eastAsiaTheme="minorEastAsia" w:cstheme="minorEastAsia"/>
          <w:b w:val="0"/>
          <w:bCs/>
          <w:sz w:val="24"/>
          <w:szCs w:val="24"/>
        </w:rPr>
        <w:t>报名</w:t>
      </w:r>
      <w:r>
        <w:rPr>
          <w:rFonts w:hint="eastAsia" w:asciiTheme="minorEastAsia" w:hAnsiTheme="minorEastAsia" w:eastAsiaTheme="minorEastAsia" w:cstheme="minorEastAsia"/>
          <w:b w:val="0"/>
          <w:bCs/>
          <w:sz w:val="24"/>
          <w:szCs w:val="24"/>
          <w:lang w:val="en-US" w:eastAsia="zh-CN"/>
        </w:rPr>
        <w:t>二维码）</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lang w:val="en-US" w:eastAsia="zh-CN"/>
        </w:rPr>
        <w:t>八、</w:t>
      </w:r>
      <w:r>
        <w:rPr>
          <w:rFonts w:hint="eastAsia" w:asciiTheme="minorEastAsia" w:hAnsiTheme="minorEastAsia" w:eastAsiaTheme="minorEastAsia" w:cstheme="minorEastAsia"/>
          <w:b w:val="0"/>
          <w:bCs/>
          <w:sz w:val="24"/>
          <w:szCs w:val="24"/>
        </w:rPr>
        <w:t>博览会观众报名</w:t>
      </w:r>
    </w:p>
    <w:p>
      <w:pPr>
        <w:keepNext w:val="0"/>
        <w:keepLines w:val="0"/>
        <w:pageBreakBefore w:val="0"/>
        <w:widowControl w:val="0"/>
        <w:kinsoku/>
        <w:wordWrap/>
        <w:overflowPunct/>
        <w:topLinePunct w:val="0"/>
        <w:bidi w:val="0"/>
        <w:snapToGrid/>
        <w:spacing w:beforeLines="0" w:afterLines="0" w:line="400" w:lineRule="atLeast"/>
        <w:ind w:firstLine="480" w:firstLineChars="200"/>
        <w:jc w:val="both"/>
        <w:textAlignment w:val="auto"/>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val="0"/>
          <w:bCs/>
          <w:sz w:val="24"/>
          <w:szCs w:val="24"/>
        </w:rPr>
        <w:t>参观博览会观众（只能参观展会，不能参加收费会议）</w:t>
      </w:r>
      <w:r>
        <w:rPr>
          <w:rFonts w:hint="eastAsia" w:asciiTheme="minorEastAsia" w:hAnsiTheme="minorEastAsia" w:eastAsiaTheme="minorEastAsia" w:cstheme="minorEastAsia"/>
          <w:b w:val="0"/>
          <w:bCs/>
          <w:sz w:val="24"/>
          <w:szCs w:val="24"/>
          <w:lang w:eastAsia="zh-CN"/>
        </w:rPr>
        <w:t>，</w:t>
      </w:r>
      <w:r>
        <w:rPr>
          <w:rFonts w:hint="eastAsia" w:asciiTheme="minorEastAsia" w:hAnsiTheme="minorEastAsia" w:eastAsiaTheme="minorEastAsia" w:cstheme="minorEastAsia"/>
          <w:b w:val="0"/>
          <w:bCs/>
          <w:sz w:val="24"/>
          <w:szCs w:val="24"/>
          <w:lang w:val="en-US" w:eastAsia="zh-CN"/>
        </w:rPr>
        <w:t>请</w:t>
      </w:r>
      <w:r>
        <w:rPr>
          <w:rFonts w:hint="eastAsia" w:asciiTheme="minorEastAsia" w:hAnsiTheme="minorEastAsia" w:eastAsiaTheme="minorEastAsia" w:cstheme="minorEastAsia"/>
          <w:b w:val="0"/>
          <w:bCs/>
          <w:sz w:val="24"/>
          <w:szCs w:val="24"/>
        </w:rPr>
        <w:t>扫码免费报名，会议代表无需重复注册博览会观众。</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lang w:val="en-US" w:eastAsia="zh-CN"/>
        </w:rPr>
        <w:t>九、</w:t>
      </w:r>
      <w:r>
        <w:rPr>
          <w:rFonts w:hint="eastAsia" w:asciiTheme="minorEastAsia" w:hAnsiTheme="minorEastAsia" w:eastAsiaTheme="minorEastAsia" w:cstheme="minorEastAsia"/>
          <w:b w:val="0"/>
          <w:bCs/>
          <w:sz w:val="24"/>
          <w:szCs w:val="24"/>
        </w:rPr>
        <w:t>会议报名付款</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（一）付款方式</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付款方式：支持微信、支付宝、银行转账等多种形式。</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报名付款请备注：</w:t>
      </w:r>
      <w:r>
        <w:rPr>
          <w:rFonts w:hint="eastAsia" w:asciiTheme="minorEastAsia" w:hAnsiTheme="minorEastAsia" w:eastAsiaTheme="minorEastAsia" w:cstheme="minorEastAsia"/>
          <w:b/>
          <w:bCs/>
          <w:sz w:val="24"/>
          <w:szCs w:val="24"/>
          <w:lang w:val="en-US" w:eastAsia="zh-CN"/>
        </w:rPr>
        <w:t>江苏日化协会+</w:t>
      </w:r>
      <w:r>
        <w:rPr>
          <w:rFonts w:hint="eastAsia" w:asciiTheme="minorEastAsia" w:hAnsiTheme="minorEastAsia" w:eastAsiaTheme="minorEastAsia" w:cstheme="minorEastAsia"/>
          <w:b/>
          <w:bCs/>
          <w:sz w:val="24"/>
          <w:szCs w:val="24"/>
        </w:rPr>
        <w:t>年会＋手机号</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（二）电子发票开具</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请在报名注册时准确填写开票信息</w:t>
      </w:r>
      <w:r>
        <w:rPr>
          <w:rFonts w:hint="eastAsia" w:asciiTheme="minorEastAsia" w:hAnsiTheme="minorEastAsia" w:eastAsiaTheme="minorEastAsia" w:cstheme="minorEastAsia"/>
          <w:sz w:val="24"/>
          <w:szCs w:val="24"/>
          <w:lang w:val="en-US" w:eastAsia="zh-CN"/>
        </w:rPr>
        <w:t>和</w:t>
      </w:r>
      <w:r>
        <w:rPr>
          <w:rFonts w:hint="eastAsia" w:asciiTheme="minorEastAsia" w:hAnsiTheme="minorEastAsia" w:eastAsiaTheme="minorEastAsia" w:cstheme="minorEastAsia"/>
          <w:sz w:val="24"/>
          <w:szCs w:val="24"/>
        </w:rPr>
        <w:t>收取电子发票的邮箱地址。填写提交后如需要修改请与负责开票的老师联系。报名注册名称与开票单位名称保持一致。</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（三）收款账户</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转账汇款</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收款单位：中国香料香精化妆品工业协会</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开户银行：中国工商银行东长安街支行</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银行账户：0200053409014400301</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统一社会信用代码：51100000500005545B</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60288" behindDoc="0" locked="0" layoutInCell="1" allowOverlap="1">
                <wp:simplePos x="0" y="0"/>
                <wp:positionH relativeFrom="page">
                  <wp:posOffset>1521460</wp:posOffset>
                </wp:positionH>
                <wp:positionV relativeFrom="paragraph">
                  <wp:posOffset>-7256780</wp:posOffset>
                </wp:positionV>
                <wp:extent cx="962025" cy="920750"/>
                <wp:effectExtent l="0" t="0" r="0" b="0"/>
                <wp:wrapTopAndBottom/>
                <wp:docPr id="3" name="矩形 12"/>
                <wp:cNvGraphicFramePr/>
                <a:graphic xmlns:a="http://schemas.openxmlformats.org/drawingml/2006/main">
                  <a:graphicData uri="http://schemas.microsoft.com/office/word/2010/wordprocessingShape">
                    <wps:wsp>
                      <wps:cNvSpPr/>
                      <wps:spPr>
                        <a:xfrm>
                          <a:off x="0" y="0"/>
                          <a:ext cx="962025" cy="920750"/>
                        </a:xfrm>
                        <a:prstGeom prst="rect">
                          <a:avLst/>
                        </a:prstGeom>
                        <a:noFill/>
                        <a:ln>
                          <a:noFill/>
                        </a:ln>
                      </wps:spPr>
                      <wps:txbx>
                        <w:txbxContent>
                          <w:p>
                            <w:pPr>
                              <w:widowControl/>
                              <w:autoSpaceDE/>
                              <w:autoSpaceDN/>
                              <w:adjustRightInd/>
                              <w:spacing w:line="2800" w:lineRule="atLeast"/>
                              <w:rPr>
                                <w:rFonts w:hint="eastAsia"/>
                                <w:sz w:val="24"/>
                                <w:szCs w:val="24"/>
                              </w:rPr>
                            </w:pPr>
                            <w:r>
                              <w:rPr>
                                <w:rFonts w:hint="default"/>
                                <w:sz w:val="24"/>
                                <w:szCs w:val="24"/>
                              </w:rPr>
                              <w:drawing>
                                <wp:inline distT="0" distB="0" distL="114300" distR="114300">
                                  <wp:extent cx="821690" cy="815340"/>
                                  <wp:effectExtent l="0" t="0" r="16510" b="3810"/>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pic:cNvPicPr>
                                            <a:picLocks noChangeAspect="1"/>
                                          </pic:cNvPicPr>
                                        </pic:nvPicPr>
                                        <pic:blipFill>
                                          <a:blip r:embed="rId8"/>
                                          <a:stretch>
                                            <a:fillRect/>
                                          </a:stretch>
                                        </pic:blipFill>
                                        <pic:spPr>
                                          <a:xfrm>
                                            <a:off x="0" y="0"/>
                                            <a:ext cx="821690" cy="815340"/>
                                          </a:xfrm>
                                          <a:prstGeom prst="rect">
                                            <a:avLst/>
                                          </a:prstGeom>
                                          <a:noFill/>
                                          <a:ln>
                                            <a:noFill/>
                                          </a:ln>
                                        </pic:spPr>
                                      </pic:pic>
                                    </a:graphicData>
                                  </a:graphic>
                                </wp:inline>
                              </w:drawing>
                            </w:r>
                          </w:p>
                          <w:p>
                            <w:pPr>
                              <w:widowControl/>
                              <w:autoSpaceDE/>
                              <w:autoSpaceDN/>
                              <w:adjustRightInd/>
                              <w:spacing w:line="2800" w:lineRule="atLeast"/>
                              <w:rPr>
                                <w:rFonts w:hint="eastAsia"/>
                                <w:sz w:val="24"/>
                                <w:szCs w:val="24"/>
                              </w:rPr>
                            </w:pPr>
                          </w:p>
                          <w:p>
                            <w:pPr>
                              <w:rPr>
                                <w:rFonts w:hint="eastAsia"/>
                                <w:sz w:val="24"/>
                                <w:szCs w:val="24"/>
                              </w:rPr>
                            </w:pPr>
                          </w:p>
                        </w:txbxContent>
                      </wps:txbx>
                      <wps:bodyPr wrap="square" lIns="0" tIns="0" rIns="0" bIns="0" upright="1"/>
                    </wps:wsp>
                  </a:graphicData>
                </a:graphic>
              </wp:anchor>
            </w:drawing>
          </mc:Choice>
          <mc:Fallback>
            <w:pict>
              <v:rect id="矩形 12" o:spid="_x0000_s1026" o:spt="1" style="position:absolute;left:0pt;margin-left:119.8pt;margin-top:-571.4pt;height:72.5pt;width:75.75pt;mso-position-horizontal-relative:page;mso-wrap-distance-bottom:0pt;mso-wrap-distance-top:0pt;z-index:251660288;mso-width-relative:page;mso-height-relative:page;" filled="f" stroked="f" coordsize="21600,21600" o:gfxdata="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olFPdAAAADgEAAA8AAAAAAAAAAQAgAAAAIgAAAGRycy9kb3ducmV2Lnht&#10;bFBLAQIUABQAAAAIAIdO4kAL3ueEuwEAAHMDAAAOAAAAAAAAAAEAIAAAACwBAABkcnMvZTJvRG9j&#10;LnhtbFBLBQYAAAAABgAGAFkBAABZBQAAAAA=&#10;">
                <v:fill on="f" focussize="0,0"/>
                <v:stroke on="f"/>
                <v:imagedata o:title=""/>
                <o:lock v:ext="edit" aspectratio="f"/>
                <v:textbox inset="0mm,0mm,0mm,0mm">
                  <w:txbxContent>
                    <w:p>
                      <w:pPr>
                        <w:widowControl/>
                        <w:autoSpaceDE/>
                        <w:autoSpaceDN/>
                        <w:adjustRightInd/>
                        <w:spacing w:line="2800" w:lineRule="atLeast"/>
                        <w:rPr>
                          <w:rFonts w:hint="eastAsia"/>
                          <w:sz w:val="24"/>
                          <w:szCs w:val="24"/>
                        </w:rPr>
                      </w:pPr>
                      <w:r>
                        <w:rPr>
                          <w:rFonts w:hint="default"/>
                          <w:sz w:val="24"/>
                          <w:szCs w:val="24"/>
                        </w:rPr>
                        <w:drawing>
                          <wp:inline distT="0" distB="0" distL="114300" distR="114300">
                            <wp:extent cx="821690" cy="815340"/>
                            <wp:effectExtent l="0" t="0" r="16510" b="3810"/>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pic:cNvPicPr>
                                      <a:picLocks noChangeAspect="1"/>
                                    </pic:cNvPicPr>
                                  </pic:nvPicPr>
                                  <pic:blipFill>
                                    <a:blip r:embed="rId8"/>
                                    <a:stretch>
                                      <a:fillRect/>
                                    </a:stretch>
                                  </pic:blipFill>
                                  <pic:spPr>
                                    <a:xfrm>
                                      <a:off x="0" y="0"/>
                                      <a:ext cx="821690" cy="815340"/>
                                    </a:xfrm>
                                    <a:prstGeom prst="rect">
                                      <a:avLst/>
                                    </a:prstGeom>
                                    <a:noFill/>
                                    <a:ln>
                                      <a:noFill/>
                                    </a:ln>
                                  </pic:spPr>
                                </pic:pic>
                              </a:graphicData>
                            </a:graphic>
                          </wp:inline>
                        </w:drawing>
                      </w:r>
                    </w:p>
                    <w:p>
                      <w:pPr>
                        <w:widowControl/>
                        <w:autoSpaceDE/>
                        <w:autoSpaceDN/>
                        <w:adjustRightInd/>
                        <w:spacing w:line="2800" w:lineRule="atLeast"/>
                        <w:rPr>
                          <w:rFonts w:hint="eastAsia"/>
                          <w:sz w:val="24"/>
                          <w:szCs w:val="24"/>
                        </w:rPr>
                      </w:pPr>
                    </w:p>
                    <w:p>
                      <w:pPr>
                        <w:rPr>
                          <w:rFonts w:hint="eastAsia"/>
                          <w:sz w:val="24"/>
                          <w:szCs w:val="24"/>
                        </w:rPr>
                      </w:pPr>
                    </w:p>
                  </w:txbxContent>
                </v:textbox>
                <w10:wrap type="topAndBottom"/>
              </v:rect>
            </w:pict>
          </mc:Fallback>
        </mc:AlternateConten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微信、支付宝付款二维码</w:t>
      </w:r>
    </w:p>
    <w:p>
      <w:pPr>
        <w:keepNext w:val="0"/>
        <w:keepLines w:val="0"/>
        <w:pageBreakBefore w:val="0"/>
        <w:widowControl w:val="0"/>
        <w:kinsoku/>
        <w:wordWrap/>
        <w:overflowPunct/>
        <w:topLinePunct w:val="0"/>
        <w:bidi w:val="0"/>
        <w:snapToGrid/>
        <w:spacing w:beforeLines="0" w:afterLines="0" w:line="400" w:lineRule="atLeast"/>
        <w:ind w:firstLine="440" w:firstLineChars="200"/>
        <w:jc w:val="center"/>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2"/>
          <w:szCs w:val="24"/>
        </w:rPr>
        <w:drawing>
          <wp:inline distT="0" distB="0" distL="114300" distR="114300">
            <wp:extent cx="868680" cy="857250"/>
            <wp:effectExtent l="0" t="0" r="7620" b="0"/>
            <wp:docPr id="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pic:cNvPicPr>
                      <a:picLocks noChangeAspect="1"/>
                    </pic:cNvPicPr>
                  </pic:nvPicPr>
                  <pic:blipFill>
                    <a:blip r:embed="rId9"/>
                    <a:stretch>
                      <a:fillRect/>
                    </a:stretch>
                  </pic:blipFill>
                  <pic:spPr>
                    <a:xfrm>
                      <a:off x="0" y="0"/>
                      <a:ext cx="868680" cy="857250"/>
                    </a:xfrm>
                    <a:prstGeom prst="rect">
                      <a:avLst/>
                    </a:prstGeom>
                    <a:noFill/>
                    <a:ln>
                      <a:noFill/>
                    </a:ln>
                  </pic:spPr>
                </pic:pic>
              </a:graphicData>
            </a:graphic>
          </wp:inline>
        </w:drawing>
      </w:r>
      <w:r>
        <w:rPr>
          <w:rFonts w:hint="eastAsia" w:asciiTheme="minorEastAsia" w:hAnsiTheme="minorEastAsia" w:eastAsiaTheme="minorEastAsia" w:cstheme="minorEastAsia"/>
          <w:sz w:val="22"/>
          <w:szCs w:val="24"/>
          <w:lang w:val="en-US" w:eastAsia="zh-CN"/>
        </w:rPr>
        <w:t xml:space="preserve">  </w:t>
      </w:r>
      <w:r>
        <w:rPr>
          <w:rFonts w:hint="eastAsia" w:asciiTheme="minorEastAsia" w:hAnsiTheme="minorEastAsia" w:eastAsiaTheme="minorEastAsia" w:cstheme="minorEastAsia"/>
          <w:sz w:val="24"/>
          <w:szCs w:val="24"/>
        </w:rPr>
        <w:t>付款时请备注：</w:t>
      </w:r>
      <w:r>
        <w:rPr>
          <w:rFonts w:hint="eastAsia" w:asciiTheme="minorEastAsia" w:hAnsiTheme="minorEastAsia" w:eastAsiaTheme="minorEastAsia" w:cstheme="minorEastAsia"/>
          <w:b/>
          <w:bCs/>
          <w:sz w:val="24"/>
          <w:szCs w:val="24"/>
          <w:lang w:val="en-US" w:eastAsia="zh-CN"/>
        </w:rPr>
        <w:t>江苏日化协会+</w:t>
      </w:r>
      <w:r>
        <w:rPr>
          <w:rFonts w:hint="eastAsia" w:asciiTheme="minorEastAsia" w:hAnsiTheme="minorEastAsia" w:eastAsiaTheme="minorEastAsia" w:cstheme="minorEastAsia"/>
          <w:b/>
          <w:bCs/>
          <w:sz w:val="24"/>
          <w:szCs w:val="24"/>
        </w:rPr>
        <w:t>年会＋手机号</w:t>
      </w:r>
      <w:r>
        <w:rPr>
          <w:rFonts w:hint="eastAsia" w:asciiTheme="minorEastAsia" w:hAnsiTheme="minorEastAsia" w:eastAsiaTheme="minorEastAsia" w:cstheme="minorEastAsia"/>
          <w:b/>
          <w:bCs/>
          <w:sz w:val="24"/>
          <w:szCs w:val="24"/>
          <w:lang w:eastAsia="zh-CN"/>
        </w:rPr>
        <w:t>。</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十、住宿酒店推荐</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参会参展代表交通费和住宿费用自理。本次会议为参会参展人员提供了3个酒店供选择：</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（一）南京新华传媒大酒店</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lang w:eastAsia="zh-CN"/>
        </w:rPr>
      </w:pPr>
      <w:r>
        <w:rPr>
          <w:rFonts w:hint="eastAsia" w:asciiTheme="minorEastAsia" w:hAnsiTheme="minorEastAsia" w:eastAsiaTheme="minorEastAsia" w:cstheme="minorEastAsia"/>
          <w:b w:val="0"/>
          <w:bCs/>
          <w:sz w:val="24"/>
          <w:szCs w:val="24"/>
        </w:rPr>
        <w:t>地址：南京建邺区江东中路363号</w:t>
      </w:r>
      <w:r>
        <w:rPr>
          <w:rFonts w:hint="eastAsia" w:asciiTheme="minorEastAsia" w:hAnsiTheme="minorEastAsia" w:eastAsiaTheme="minorEastAsia" w:cstheme="minorEastAsia"/>
          <w:b w:val="0"/>
          <w:bCs/>
          <w:sz w:val="24"/>
          <w:szCs w:val="24"/>
          <w:lang w:eastAsia="zh-CN"/>
        </w:rPr>
        <w:t>，</w:t>
      </w:r>
      <w:r>
        <w:rPr>
          <w:rFonts w:hint="eastAsia" w:asciiTheme="minorEastAsia" w:hAnsiTheme="minorEastAsia" w:eastAsiaTheme="minorEastAsia" w:cstheme="minorEastAsia"/>
          <w:b w:val="0"/>
          <w:bCs/>
          <w:sz w:val="24"/>
          <w:szCs w:val="24"/>
        </w:rPr>
        <w:t>距离</w:t>
      </w:r>
      <w:r>
        <w:rPr>
          <w:rFonts w:hint="eastAsia" w:asciiTheme="minorEastAsia" w:hAnsiTheme="minorEastAsia" w:eastAsiaTheme="minorEastAsia" w:cstheme="minorEastAsia"/>
          <w:b w:val="0"/>
          <w:bCs/>
          <w:sz w:val="24"/>
          <w:szCs w:val="24"/>
          <w:lang w:val="en-US" w:eastAsia="zh-CN"/>
        </w:rPr>
        <w:t>4</w:t>
      </w:r>
      <w:r>
        <w:rPr>
          <w:rFonts w:hint="eastAsia" w:asciiTheme="minorEastAsia" w:hAnsiTheme="minorEastAsia" w:eastAsiaTheme="minorEastAsia" w:cstheme="minorEastAsia"/>
          <w:b w:val="0"/>
          <w:bCs/>
          <w:sz w:val="24"/>
          <w:szCs w:val="24"/>
        </w:rPr>
        <w:t>号展馆1km左右</w:t>
      </w:r>
      <w:r>
        <w:rPr>
          <w:rFonts w:hint="eastAsia" w:asciiTheme="minorEastAsia" w:hAnsiTheme="minorEastAsia" w:eastAsiaTheme="minorEastAsia" w:cstheme="minorEastAsia"/>
          <w:b w:val="0"/>
          <w:bCs/>
          <w:sz w:val="24"/>
          <w:szCs w:val="24"/>
          <w:lang w:eastAsia="zh-CN"/>
        </w:rPr>
        <w:t>。</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价格（含早）：大床房</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双床房：668元</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间</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晚</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（二）南京国际博览中心酒店</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val="0"/>
          <w:bCs/>
          <w:sz w:val="24"/>
          <w:szCs w:val="24"/>
        </w:rPr>
        <w:t>地址：南京建邺区</w:t>
      </w:r>
      <w:r>
        <w:rPr>
          <w:rFonts w:hint="eastAsia" w:asciiTheme="minorEastAsia" w:hAnsiTheme="minorEastAsia" w:eastAsiaTheme="minorEastAsia" w:cstheme="minorEastAsia"/>
          <w:b w:val="0"/>
          <w:bCs/>
          <w:sz w:val="24"/>
          <w:szCs w:val="24"/>
          <w:lang w:val="en-US" w:eastAsia="zh-CN"/>
        </w:rPr>
        <w:t>金沙江西街16号</w:t>
      </w:r>
      <w:r>
        <w:rPr>
          <w:rFonts w:hint="eastAsia" w:asciiTheme="minorEastAsia" w:hAnsiTheme="minorEastAsia" w:eastAsiaTheme="minorEastAsia" w:cstheme="minorEastAsia"/>
          <w:b w:val="0"/>
          <w:bCs/>
          <w:sz w:val="24"/>
          <w:szCs w:val="24"/>
          <w:lang w:eastAsia="zh-CN"/>
        </w:rPr>
        <w:t>，</w:t>
      </w:r>
      <w:r>
        <w:rPr>
          <w:rFonts w:hint="eastAsia" w:asciiTheme="minorEastAsia" w:hAnsiTheme="minorEastAsia" w:eastAsiaTheme="minorEastAsia" w:cstheme="minorEastAsia"/>
          <w:b w:val="0"/>
          <w:bCs/>
          <w:sz w:val="24"/>
          <w:szCs w:val="24"/>
        </w:rPr>
        <w:t>距离</w:t>
      </w:r>
      <w:r>
        <w:rPr>
          <w:rFonts w:hint="eastAsia" w:asciiTheme="minorEastAsia" w:hAnsiTheme="minorEastAsia" w:eastAsiaTheme="minorEastAsia" w:cstheme="minorEastAsia"/>
          <w:b w:val="0"/>
          <w:bCs/>
          <w:sz w:val="24"/>
          <w:szCs w:val="24"/>
          <w:lang w:val="en-US" w:eastAsia="zh-CN"/>
        </w:rPr>
        <w:t>4</w:t>
      </w:r>
      <w:r>
        <w:rPr>
          <w:rFonts w:hint="eastAsia" w:asciiTheme="minorEastAsia" w:hAnsiTheme="minorEastAsia" w:eastAsiaTheme="minorEastAsia" w:cstheme="minorEastAsia"/>
          <w:b w:val="0"/>
          <w:bCs/>
          <w:sz w:val="24"/>
          <w:szCs w:val="24"/>
        </w:rPr>
        <w:t>号展馆2km左右</w:t>
      </w:r>
      <w:r>
        <w:rPr>
          <w:rFonts w:hint="eastAsia" w:asciiTheme="minorEastAsia" w:hAnsiTheme="minorEastAsia" w:eastAsiaTheme="minorEastAsia" w:cstheme="minorEastAsia"/>
          <w:b w:val="0"/>
          <w:bCs/>
          <w:sz w:val="24"/>
          <w:szCs w:val="24"/>
          <w:lang w:val="en-US" w:eastAsia="zh-CN"/>
        </w:rPr>
        <w:t>。</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价格（含早）：大床房：535元</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间</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晚，双床房：500元</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间</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晚</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上述两个酒店预订请联系：</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张</w:t>
      </w:r>
      <w:r>
        <w:rPr>
          <w:rFonts w:hint="eastAsia" w:asciiTheme="minorEastAsia" w:hAnsiTheme="minorEastAsia" w:eastAsiaTheme="minorEastAsia" w:cstheme="minorEastAsia"/>
          <w:b w:val="0"/>
          <w:bCs/>
          <w:sz w:val="24"/>
          <w:szCs w:val="24"/>
          <w:lang w:val="en-US" w:eastAsia="zh-CN"/>
        </w:rPr>
        <w:t xml:space="preserve">  </w:t>
      </w:r>
      <w:r>
        <w:rPr>
          <w:rFonts w:hint="eastAsia" w:asciiTheme="minorEastAsia" w:hAnsiTheme="minorEastAsia" w:eastAsiaTheme="minorEastAsia" w:cstheme="minorEastAsia"/>
          <w:b w:val="0"/>
          <w:bCs/>
          <w:sz w:val="24"/>
          <w:szCs w:val="24"/>
        </w:rPr>
        <w:t>博：13810631824</w:t>
      </w:r>
      <w:r>
        <w:rPr>
          <w:rFonts w:hint="eastAsia" w:asciiTheme="minorEastAsia" w:hAnsiTheme="minorEastAsia" w:eastAsiaTheme="minorEastAsia" w:cstheme="minorEastAsia"/>
          <w:b w:val="0"/>
          <w:bCs/>
          <w:sz w:val="24"/>
          <w:szCs w:val="24"/>
          <w:lang w:val="en-US" w:eastAsia="zh-CN"/>
        </w:rPr>
        <w:t xml:space="preserve">  邮箱：</w:t>
      </w:r>
      <w:r>
        <w:rPr>
          <w:rFonts w:hint="eastAsia" w:asciiTheme="minorEastAsia" w:hAnsiTheme="minorEastAsia" w:eastAsiaTheme="minorEastAsia" w:cstheme="minorEastAsia"/>
          <w:b w:val="0"/>
          <w:bCs/>
          <w:sz w:val="24"/>
          <w:szCs w:val="24"/>
        </w:rPr>
        <w:fldChar w:fldCharType="begin"/>
      </w:r>
      <w:r>
        <w:rPr>
          <w:rFonts w:hint="eastAsia" w:asciiTheme="minorEastAsia" w:hAnsiTheme="minorEastAsia" w:eastAsiaTheme="minorEastAsia" w:cstheme="minorEastAsia"/>
          <w:b w:val="0"/>
          <w:bCs/>
          <w:sz w:val="24"/>
          <w:szCs w:val="24"/>
        </w:rPr>
        <w:instrText xml:space="preserve"> HYPERLINK "mailto:bo.zhang2@ctg.cn" </w:instrText>
      </w:r>
      <w:r>
        <w:rPr>
          <w:rFonts w:hint="eastAsia" w:asciiTheme="minorEastAsia" w:hAnsiTheme="minorEastAsia" w:eastAsiaTheme="minorEastAsia" w:cstheme="minorEastAsia"/>
          <w:b w:val="0"/>
          <w:bCs/>
          <w:sz w:val="24"/>
          <w:szCs w:val="24"/>
        </w:rPr>
        <w:fldChar w:fldCharType="separate"/>
      </w:r>
      <w:r>
        <w:rPr>
          <w:rFonts w:hint="eastAsia" w:asciiTheme="minorEastAsia" w:hAnsiTheme="minorEastAsia" w:eastAsiaTheme="minorEastAsia" w:cstheme="minorEastAsia"/>
          <w:b w:val="0"/>
          <w:bCs/>
          <w:sz w:val="24"/>
          <w:szCs w:val="24"/>
        </w:rPr>
        <w:t>bo.zhang2@ctg.cn</w:t>
      </w:r>
      <w:r>
        <w:rPr>
          <w:rFonts w:hint="eastAsia" w:asciiTheme="minorEastAsia" w:hAnsiTheme="minorEastAsia" w:eastAsiaTheme="minorEastAsia" w:cstheme="minorEastAsia"/>
          <w:b w:val="0"/>
          <w:bCs/>
          <w:sz w:val="24"/>
          <w:szCs w:val="24"/>
        </w:rPr>
        <w:fldChar w:fldCharType="end"/>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张旭平</w:t>
      </w:r>
      <w:r>
        <w:rPr>
          <w:rFonts w:hint="eastAsia" w:asciiTheme="minorEastAsia" w:hAnsiTheme="minorEastAsia" w:eastAsiaTheme="minorEastAsia" w:cstheme="minorEastAsia"/>
          <w:b w:val="0"/>
          <w:bCs/>
          <w:sz w:val="24"/>
          <w:szCs w:val="24"/>
          <w:lang w:eastAsia="zh-CN"/>
        </w:rPr>
        <w:t>：</w:t>
      </w:r>
      <w:r>
        <w:rPr>
          <w:rFonts w:hint="eastAsia" w:asciiTheme="minorEastAsia" w:hAnsiTheme="minorEastAsia" w:eastAsiaTheme="minorEastAsia" w:cstheme="minorEastAsia"/>
          <w:b w:val="0"/>
          <w:bCs/>
          <w:sz w:val="24"/>
          <w:szCs w:val="24"/>
          <w:lang w:val="en-US" w:eastAsia="zh-CN"/>
        </w:rPr>
        <w:t>1</w:t>
      </w:r>
      <w:r>
        <w:rPr>
          <w:rFonts w:hint="eastAsia" w:asciiTheme="minorEastAsia" w:hAnsiTheme="minorEastAsia" w:eastAsiaTheme="minorEastAsia" w:cstheme="minorEastAsia"/>
          <w:b w:val="0"/>
          <w:bCs/>
          <w:sz w:val="24"/>
          <w:szCs w:val="24"/>
        </w:rPr>
        <w:t>3811260551</w:t>
      </w:r>
      <w:r>
        <w:rPr>
          <w:rFonts w:hint="eastAsia" w:asciiTheme="minorEastAsia" w:hAnsiTheme="minorEastAsia" w:eastAsiaTheme="minorEastAsia" w:cstheme="minorEastAsia"/>
          <w:b w:val="0"/>
          <w:bCs/>
          <w:sz w:val="24"/>
          <w:szCs w:val="24"/>
          <w:lang w:val="en-US" w:eastAsia="zh-CN"/>
        </w:rPr>
        <w:t xml:space="preserve">  邮箱：</w:t>
      </w:r>
      <w:r>
        <w:rPr>
          <w:rFonts w:hint="eastAsia" w:asciiTheme="minorEastAsia" w:hAnsiTheme="minorEastAsia" w:eastAsiaTheme="minorEastAsia" w:cstheme="minorEastAsia"/>
          <w:b w:val="0"/>
          <w:bCs/>
          <w:sz w:val="24"/>
          <w:szCs w:val="24"/>
        </w:rPr>
        <w:t>zxp.yx@ctg.en</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val="0"/>
          <w:bCs/>
          <w:sz w:val="24"/>
          <w:szCs w:val="24"/>
        </w:rPr>
        <w:t>（三）南京丰大国际大酒店</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pacing w:val="-17"/>
          <w:sz w:val="24"/>
          <w:szCs w:val="24"/>
        </w:rPr>
        <w:t>理事会会议酒店，建议理事</w:t>
      </w:r>
      <w:r>
        <w:rPr>
          <w:rFonts w:hint="eastAsia" w:asciiTheme="minorEastAsia" w:hAnsiTheme="minorEastAsia" w:eastAsiaTheme="minorEastAsia" w:cstheme="minorEastAsia"/>
          <w:b w:val="0"/>
          <w:bCs/>
          <w:spacing w:val="-17"/>
          <w:sz w:val="24"/>
          <w:szCs w:val="24"/>
          <w:lang w:eastAsia="zh-CN"/>
        </w:rPr>
        <w:t>单位</w:t>
      </w:r>
      <w:r>
        <w:rPr>
          <w:rFonts w:hint="eastAsia" w:asciiTheme="minorEastAsia" w:hAnsiTheme="minorEastAsia" w:eastAsiaTheme="minorEastAsia" w:cstheme="minorEastAsia"/>
          <w:b w:val="0"/>
          <w:bCs/>
          <w:spacing w:val="-17"/>
          <w:sz w:val="24"/>
          <w:szCs w:val="24"/>
        </w:rPr>
        <w:t>参会人员选择</w:t>
      </w:r>
      <w:r>
        <w:rPr>
          <w:rFonts w:hint="eastAsia" w:asciiTheme="minorEastAsia" w:hAnsiTheme="minorEastAsia" w:eastAsiaTheme="minorEastAsia" w:cstheme="minorEastAsia"/>
          <w:b w:val="0"/>
          <w:bCs/>
          <w:spacing w:val="-17"/>
          <w:sz w:val="24"/>
          <w:szCs w:val="24"/>
          <w:lang w:val="en-US" w:eastAsia="zh-CN"/>
        </w:rPr>
        <w:t>)</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地址：南京市江北新区城南河路89号</w:t>
      </w:r>
      <w:r>
        <w:rPr>
          <w:rFonts w:hint="eastAsia" w:asciiTheme="minorEastAsia" w:hAnsiTheme="minorEastAsia" w:eastAsiaTheme="minorEastAsia" w:cstheme="minorEastAsia"/>
          <w:b w:val="0"/>
          <w:bCs/>
          <w:sz w:val="24"/>
          <w:szCs w:val="24"/>
          <w:lang w:eastAsia="zh-CN"/>
        </w:rPr>
        <w:t>，</w:t>
      </w:r>
      <w:r>
        <w:rPr>
          <w:rFonts w:hint="eastAsia" w:asciiTheme="minorEastAsia" w:hAnsiTheme="minorEastAsia" w:eastAsiaTheme="minorEastAsia" w:cstheme="minorEastAsia"/>
          <w:b w:val="0"/>
          <w:bCs/>
          <w:sz w:val="24"/>
          <w:szCs w:val="24"/>
        </w:rPr>
        <w:t>距离4号展馆13mk左右</w:t>
      </w:r>
      <w:r>
        <w:rPr>
          <w:rFonts w:hint="eastAsia" w:asciiTheme="minorEastAsia" w:hAnsiTheme="minorEastAsia" w:eastAsiaTheme="minorEastAsia" w:cstheme="minorEastAsia"/>
          <w:b w:val="0"/>
          <w:bCs/>
          <w:sz w:val="24"/>
          <w:szCs w:val="24"/>
          <w:lang w:eastAsia="zh-CN"/>
        </w:rPr>
        <w:t>。</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价格（含早）：大床房</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双床房：400元</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间</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rPr>
        <w:t>晚</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酒店预订请联系：韩蕊13810459359,010-67663127</w:t>
      </w:r>
    </w:p>
    <w:p>
      <w:pPr>
        <w:keepNext w:val="0"/>
        <w:keepLines w:val="0"/>
        <w:pageBreakBefore w:val="0"/>
        <w:widowControl w:val="0"/>
        <w:kinsoku/>
        <w:wordWrap/>
        <w:overflowPunct/>
        <w:topLinePunct w:val="0"/>
        <w:bidi w:val="0"/>
        <w:snapToGrid/>
        <w:spacing w:beforeLines="0" w:afterLines="0" w:line="400" w:lineRule="atLeast"/>
        <w:ind w:firstLine="480" w:firstLineChars="200"/>
        <w:jc w:val="center"/>
        <w:textAlignment w:val="auto"/>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val="0"/>
          <w:bCs/>
          <w:sz w:val="24"/>
          <w:szCs w:val="24"/>
          <w:lang w:eastAsia="zh-CN"/>
        </w:rPr>
        <w:drawing>
          <wp:inline distT="0" distB="0" distL="114300" distR="114300">
            <wp:extent cx="705485" cy="705485"/>
            <wp:effectExtent l="0" t="0" r="18415" b="18415"/>
            <wp:docPr id="6" name="图片 10" descr="e76f9f7231fba4e06acb09c6617c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 descr="e76f9f7231fba4e06acb09c6617c909"/>
                    <pic:cNvPicPr>
                      <a:picLocks noChangeAspect="1"/>
                    </pic:cNvPicPr>
                  </pic:nvPicPr>
                  <pic:blipFill>
                    <a:blip r:embed="rId10"/>
                    <a:stretch>
                      <a:fillRect/>
                    </a:stretch>
                  </pic:blipFill>
                  <pic:spPr>
                    <a:xfrm>
                      <a:off x="0" y="0"/>
                      <a:ext cx="705485" cy="705485"/>
                    </a:xfrm>
                    <a:prstGeom prst="rect">
                      <a:avLst/>
                    </a:prstGeom>
                    <a:noFill/>
                    <a:ln>
                      <a:noFill/>
                    </a:ln>
                  </pic:spPr>
                </pic:pic>
              </a:graphicData>
            </a:graphic>
          </wp:inline>
        </w:drawing>
      </w:r>
      <w:r>
        <w:rPr>
          <w:rFonts w:hint="eastAsia" w:asciiTheme="minorEastAsia" w:hAnsiTheme="minorEastAsia" w:eastAsiaTheme="minorEastAsia" w:cstheme="minorEastAsia"/>
          <w:b w:val="0"/>
          <w:bCs/>
          <w:sz w:val="24"/>
          <w:szCs w:val="24"/>
          <w:lang w:eastAsia="zh-CN"/>
        </w:rPr>
        <w:t>（</w:t>
      </w:r>
      <w:r>
        <w:rPr>
          <w:rFonts w:hint="eastAsia" w:asciiTheme="minorEastAsia" w:hAnsiTheme="minorEastAsia" w:eastAsiaTheme="minorEastAsia" w:cstheme="minorEastAsia"/>
          <w:b w:val="0"/>
          <w:bCs/>
          <w:sz w:val="24"/>
          <w:szCs w:val="24"/>
          <w:lang w:val="en-US" w:eastAsia="zh-CN"/>
        </w:rPr>
        <w:t>此二维码仅供预定南京丰大酒店</w:t>
      </w:r>
      <w:r>
        <w:rPr>
          <w:rFonts w:hint="eastAsia" w:asciiTheme="minorEastAsia" w:hAnsiTheme="minorEastAsia" w:eastAsiaTheme="minorEastAsia" w:cstheme="minorEastAsia"/>
          <w:b w:val="0"/>
          <w:bCs/>
          <w:sz w:val="24"/>
          <w:szCs w:val="24"/>
          <w:lang w:eastAsia="zh-CN"/>
        </w:rPr>
        <w:t>）</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val="0"/>
          <w:bCs/>
          <w:sz w:val="24"/>
          <w:szCs w:val="24"/>
        </w:rPr>
        <w:t>注：房间数量有限，请尽早安排预定并付费锁定。</w:t>
      </w:r>
      <w:r>
        <w:rPr>
          <w:rFonts w:hint="eastAsia" w:asciiTheme="minorEastAsia" w:hAnsiTheme="minorEastAsia" w:eastAsiaTheme="minorEastAsia" w:cstheme="minorEastAsia"/>
          <w:b w:val="0"/>
          <w:bCs/>
          <w:sz w:val="24"/>
          <w:szCs w:val="24"/>
          <w:lang w:val="en-US" w:eastAsia="zh-CN"/>
        </w:rPr>
        <w:t>南京丰大国际酒店可扫二维码报名预定，</w:t>
      </w:r>
      <w:r>
        <w:rPr>
          <w:rFonts w:hint="eastAsia" w:asciiTheme="minorEastAsia" w:hAnsiTheme="minorEastAsia" w:eastAsiaTheme="minorEastAsia" w:cstheme="minorEastAsia"/>
          <w:b w:val="0"/>
          <w:bCs/>
          <w:sz w:val="24"/>
          <w:szCs w:val="24"/>
        </w:rPr>
        <w:t>南京新华传媒大酒店</w:t>
      </w:r>
      <w:r>
        <w:rPr>
          <w:rFonts w:hint="eastAsia" w:asciiTheme="minorEastAsia" w:hAnsiTheme="minorEastAsia" w:eastAsiaTheme="minorEastAsia" w:cstheme="minorEastAsia"/>
          <w:b w:val="0"/>
          <w:bCs/>
          <w:sz w:val="24"/>
          <w:szCs w:val="24"/>
          <w:lang w:val="en-US" w:eastAsia="zh-CN"/>
        </w:rPr>
        <w:t>和</w:t>
      </w:r>
      <w:r>
        <w:rPr>
          <w:rFonts w:hint="eastAsia" w:asciiTheme="minorEastAsia" w:hAnsiTheme="minorEastAsia" w:eastAsiaTheme="minorEastAsia" w:cstheme="minorEastAsia"/>
          <w:b w:val="0"/>
          <w:bCs/>
          <w:sz w:val="24"/>
          <w:szCs w:val="24"/>
        </w:rPr>
        <w:t>南京国际博览中心酒店</w:t>
      </w:r>
      <w:r>
        <w:rPr>
          <w:rFonts w:hint="eastAsia" w:asciiTheme="minorEastAsia" w:hAnsiTheme="minorEastAsia" w:eastAsiaTheme="minorEastAsia" w:cstheme="minorEastAsia"/>
          <w:b w:val="0"/>
          <w:bCs/>
          <w:sz w:val="24"/>
          <w:szCs w:val="24"/>
          <w:lang w:val="en-US" w:eastAsia="zh-CN"/>
        </w:rPr>
        <w:t>房间预定请直接电话联系。</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十一、联系人</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（一）中国香化协会：</w:t>
      </w:r>
    </w:p>
    <w:p>
      <w:pPr>
        <w:keepNext w:val="0"/>
        <w:keepLines w:val="0"/>
        <w:pageBreakBefore w:val="0"/>
        <w:widowControl w:val="0"/>
        <w:kinsoku/>
        <w:wordWrap w:val="0"/>
        <w:overflowPunct/>
        <w:topLinePunct w:val="0"/>
        <w:autoSpaceDE/>
        <w:autoSpaceDN/>
        <w:bidi w:val="0"/>
        <w:adjustRightInd/>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会务：韩蕊</w:t>
      </w:r>
      <w:r>
        <w:rPr>
          <w:rFonts w:hint="eastAsia" w:asciiTheme="minorEastAsia" w:hAnsiTheme="minorEastAsia" w:eastAsiaTheme="minorEastAsia" w:cstheme="minorEastAsia"/>
          <w:b w:val="0"/>
          <w:bCs/>
          <w:sz w:val="24"/>
          <w:szCs w:val="24"/>
          <w:lang w:val="en-US" w:eastAsia="zh-CN"/>
        </w:rPr>
        <w:t xml:space="preserve"> </w:t>
      </w:r>
      <w:r>
        <w:rPr>
          <w:rFonts w:hint="eastAsia" w:asciiTheme="minorEastAsia" w:hAnsiTheme="minorEastAsia" w:eastAsiaTheme="minorEastAsia" w:cstheme="minorEastAsia"/>
          <w:b w:val="0"/>
          <w:bCs/>
          <w:sz w:val="24"/>
          <w:szCs w:val="24"/>
        </w:rPr>
        <w:t>13810459359</w:t>
      </w:r>
      <w:r>
        <w:rPr>
          <w:rFonts w:hint="eastAsia" w:asciiTheme="minorEastAsia" w:hAnsiTheme="minorEastAsia" w:eastAsiaTheme="minorEastAsia" w:cstheme="minorEastAsia"/>
          <w:b w:val="0"/>
          <w:bCs/>
          <w:sz w:val="24"/>
          <w:szCs w:val="24"/>
          <w:lang w:val="en-US" w:eastAsia="zh-CN"/>
        </w:rPr>
        <w:t xml:space="preserve"> </w:t>
      </w:r>
      <w:r>
        <w:rPr>
          <w:rFonts w:hint="eastAsia" w:asciiTheme="minorEastAsia" w:hAnsiTheme="minorEastAsia" w:eastAsiaTheme="minorEastAsia" w:cstheme="minorEastAsia"/>
          <w:b w:val="0"/>
          <w:bCs/>
          <w:sz w:val="24"/>
          <w:szCs w:val="24"/>
        </w:rPr>
        <w:t>010-67663127</w:t>
      </w:r>
      <w:r>
        <w:rPr>
          <w:rFonts w:hint="eastAsia" w:asciiTheme="minorEastAsia" w:hAnsiTheme="minorEastAsia" w:eastAsiaTheme="minorEastAsia" w:cstheme="minorEastAsia"/>
          <w:b w:val="0"/>
          <w:bCs/>
          <w:sz w:val="24"/>
          <w:szCs w:val="24"/>
          <w:lang w:eastAsia="zh-CN"/>
        </w:rPr>
        <w:t>；</w:t>
      </w:r>
      <w:r>
        <w:rPr>
          <w:rFonts w:hint="eastAsia" w:asciiTheme="minorEastAsia" w:hAnsiTheme="minorEastAsia" w:eastAsiaTheme="minorEastAsia" w:cstheme="minorEastAsia"/>
          <w:b w:val="0"/>
          <w:bCs/>
          <w:spacing w:val="-6"/>
          <w:sz w:val="24"/>
          <w:szCs w:val="24"/>
        </w:rPr>
        <w:t>hanrui@caffci.org；</w:t>
      </w:r>
    </w:p>
    <w:p>
      <w:pPr>
        <w:keepNext w:val="0"/>
        <w:keepLines w:val="0"/>
        <w:pageBreakBefore w:val="0"/>
        <w:widowControl w:val="0"/>
        <w:kinsoku/>
        <w:wordWrap w:val="0"/>
        <w:overflowPunct/>
        <w:topLinePunct w:val="0"/>
        <w:autoSpaceDE/>
        <w:autoSpaceDN/>
        <w:bidi w:val="0"/>
        <w:adjustRightInd/>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pacing w:val="-6"/>
          <w:sz w:val="24"/>
          <w:szCs w:val="24"/>
          <w:lang w:eastAsia="zh-CN"/>
        </w:rPr>
      </w:pPr>
      <w:r>
        <w:rPr>
          <w:rFonts w:hint="eastAsia" w:asciiTheme="minorEastAsia" w:hAnsiTheme="minorEastAsia" w:eastAsiaTheme="minorEastAsia" w:cstheme="minorEastAsia"/>
          <w:b w:val="0"/>
          <w:bCs/>
          <w:sz w:val="24"/>
          <w:szCs w:val="24"/>
        </w:rPr>
        <w:t>财务：杨梅</w:t>
      </w:r>
      <w:r>
        <w:rPr>
          <w:rFonts w:hint="eastAsia" w:asciiTheme="minorEastAsia" w:hAnsiTheme="minorEastAsia" w:eastAsiaTheme="minorEastAsia" w:cstheme="minorEastAsia"/>
          <w:b w:val="0"/>
          <w:bCs/>
          <w:sz w:val="24"/>
          <w:szCs w:val="24"/>
          <w:lang w:val="en-US" w:eastAsia="zh-CN"/>
        </w:rPr>
        <w:t xml:space="preserve"> </w:t>
      </w:r>
      <w:r>
        <w:rPr>
          <w:rFonts w:hint="eastAsia" w:asciiTheme="minorEastAsia" w:hAnsiTheme="minorEastAsia" w:eastAsiaTheme="minorEastAsia" w:cstheme="minorEastAsia"/>
          <w:b w:val="0"/>
          <w:bCs/>
          <w:sz w:val="24"/>
          <w:szCs w:val="24"/>
        </w:rPr>
        <w:t>13621312865</w:t>
      </w:r>
      <w:r>
        <w:rPr>
          <w:rFonts w:hint="eastAsia" w:asciiTheme="minorEastAsia" w:hAnsiTheme="minorEastAsia" w:eastAsiaTheme="minorEastAsia" w:cstheme="minorEastAsia"/>
          <w:b w:val="0"/>
          <w:bCs/>
          <w:sz w:val="24"/>
          <w:szCs w:val="24"/>
          <w:lang w:val="en-US" w:eastAsia="zh-CN"/>
        </w:rPr>
        <w:t xml:space="preserve"> </w:t>
      </w:r>
      <w:r>
        <w:rPr>
          <w:rFonts w:hint="eastAsia" w:asciiTheme="minorEastAsia" w:hAnsiTheme="minorEastAsia" w:eastAsiaTheme="minorEastAsia" w:cstheme="minorEastAsia"/>
          <w:b w:val="0"/>
          <w:bCs/>
          <w:sz w:val="24"/>
          <w:szCs w:val="24"/>
        </w:rPr>
        <w:t>010-67663114转8003</w:t>
      </w:r>
      <w:r>
        <w:rPr>
          <w:rFonts w:hint="eastAsia" w:asciiTheme="minorEastAsia" w:hAnsiTheme="minorEastAsia" w:eastAsiaTheme="minorEastAsia" w:cstheme="minorEastAsia"/>
          <w:b w:val="0"/>
          <w:bCs/>
          <w:sz w:val="24"/>
          <w:szCs w:val="24"/>
          <w:lang w:eastAsia="zh-CN"/>
        </w:rPr>
        <w:t>；</w:t>
      </w:r>
      <w:r>
        <w:rPr>
          <w:rFonts w:hint="eastAsia" w:asciiTheme="minorEastAsia" w:hAnsiTheme="minorEastAsia" w:eastAsiaTheme="minorEastAsia" w:cstheme="minorEastAsia"/>
          <w:b w:val="0"/>
          <w:bCs/>
          <w:spacing w:val="-6"/>
          <w:sz w:val="24"/>
          <w:szCs w:val="24"/>
        </w:rPr>
        <w:t>yangmei@caffci.org</w:t>
      </w:r>
      <w:r>
        <w:rPr>
          <w:rFonts w:hint="eastAsia" w:asciiTheme="minorEastAsia" w:hAnsiTheme="minorEastAsia" w:eastAsiaTheme="minorEastAsia" w:cstheme="minorEastAsia"/>
          <w:b w:val="0"/>
          <w:bCs/>
          <w:spacing w:val="-6"/>
          <w:sz w:val="24"/>
          <w:szCs w:val="24"/>
          <w:lang w:eastAsia="zh-CN"/>
        </w:rPr>
        <w:t>；</w:t>
      </w:r>
    </w:p>
    <w:p>
      <w:pPr>
        <w:keepNext w:val="0"/>
        <w:keepLines w:val="0"/>
        <w:pageBreakBefore w:val="0"/>
        <w:widowControl w:val="0"/>
        <w:kinsoku/>
        <w:wordWrap w:val="0"/>
        <w:overflowPunct/>
        <w:topLinePunct w:val="0"/>
        <w:autoSpaceDE/>
        <w:autoSpaceDN/>
        <w:bidi w:val="0"/>
        <w:adjustRightInd/>
        <w:snapToGrid/>
        <w:spacing w:beforeLines="0" w:afterLines="0" w:line="400" w:lineRule="atLeast"/>
        <w:ind w:firstLine="480" w:firstLineChars="200"/>
        <w:textAlignment w:val="auto"/>
        <w:rPr>
          <w:rFonts w:hint="eastAsia" w:asciiTheme="minorEastAsia" w:hAnsiTheme="minorEastAsia" w:eastAsiaTheme="minorEastAsia" w:cstheme="minorEastAsia"/>
          <w:b w:val="0"/>
          <w:bCs/>
          <w:spacing w:val="-6"/>
          <w:sz w:val="24"/>
          <w:szCs w:val="24"/>
        </w:rPr>
      </w:pPr>
      <w:r>
        <w:rPr>
          <w:rFonts w:hint="eastAsia" w:asciiTheme="minorEastAsia" w:hAnsiTheme="minorEastAsia" w:eastAsiaTheme="minorEastAsia" w:cstheme="minorEastAsia"/>
          <w:b w:val="0"/>
          <w:bCs/>
          <w:sz w:val="24"/>
          <w:szCs w:val="24"/>
        </w:rPr>
        <w:t>发票：程兵</w:t>
      </w:r>
      <w:r>
        <w:rPr>
          <w:rFonts w:hint="eastAsia" w:asciiTheme="minorEastAsia" w:hAnsiTheme="minorEastAsia" w:eastAsiaTheme="minorEastAsia" w:cstheme="minorEastAsia"/>
          <w:b w:val="0"/>
          <w:bCs/>
          <w:sz w:val="24"/>
          <w:szCs w:val="24"/>
          <w:lang w:val="en-US" w:eastAsia="zh-CN"/>
        </w:rPr>
        <w:t xml:space="preserve"> </w:t>
      </w:r>
      <w:r>
        <w:rPr>
          <w:rFonts w:hint="eastAsia" w:asciiTheme="minorEastAsia" w:hAnsiTheme="minorEastAsia" w:eastAsiaTheme="minorEastAsia" w:cstheme="minorEastAsia"/>
          <w:b w:val="0"/>
          <w:bCs/>
          <w:sz w:val="24"/>
          <w:szCs w:val="24"/>
        </w:rPr>
        <w:t>13681260650</w:t>
      </w:r>
      <w:r>
        <w:rPr>
          <w:rFonts w:hint="eastAsia" w:asciiTheme="minorEastAsia" w:hAnsiTheme="minorEastAsia" w:eastAsiaTheme="minorEastAsia" w:cstheme="minorEastAsia"/>
          <w:b w:val="0"/>
          <w:bCs/>
          <w:sz w:val="24"/>
          <w:szCs w:val="24"/>
          <w:lang w:val="en-US" w:eastAsia="zh-CN"/>
        </w:rPr>
        <w:t xml:space="preserve"> </w:t>
      </w:r>
      <w:r>
        <w:rPr>
          <w:rFonts w:hint="eastAsia" w:asciiTheme="minorEastAsia" w:hAnsiTheme="minorEastAsia" w:eastAsiaTheme="minorEastAsia" w:cstheme="minorEastAsia"/>
          <w:b w:val="0"/>
          <w:bCs/>
          <w:sz w:val="24"/>
          <w:szCs w:val="24"/>
        </w:rPr>
        <w:t>010-67663114转8004</w:t>
      </w:r>
      <w:r>
        <w:rPr>
          <w:rFonts w:hint="eastAsia" w:asciiTheme="minorEastAsia" w:hAnsiTheme="minorEastAsia" w:eastAsiaTheme="minorEastAsia" w:cstheme="minorEastAsia"/>
          <w:b w:val="0"/>
          <w:bCs/>
          <w:sz w:val="24"/>
          <w:szCs w:val="24"/>
          <w:lang w:eastAsia="zh-CN"/>
        </w:rPr>
        <w:t>；</w:t>
      </w:r>
      <w:r>
        <w:rPr>
          <w:rFonts w:hint="eastAsia" w:asciiTheme="minorEastAsia" w:hAnsiTheme="minorEastAsia" w:eastAsiaTheme="minorEastAsia" w:cstheme="minorEastAsia"/>
          <w:b w:val="0"/>
          <w:bCs/>
          <w:spacing w:val="-6"/>
          <w:sz w:val="24"/>
          <w:szCs w:val="24"/>
        </w:rPr>
        <w:t>chengb@caffci.org；</w:t>
      </w:r>
    </w:p>
    <w:p>
      <w:pPr>
        <w:keepNext w:val="0"/>
        <w:keepLines w:val="0"/>
        <w:pageBreakBefore w:val="0"/>
        <w:widowControl w:val="0"/>
        <w:kinsoku/>
        <w:wordWrap w:val="0"/>
        <w:overflowPunct/>
        <w:topLinePunct w:val="0"/>
        <w:autoSpaceDE/>
        <w:autoSpaceDN/>
        <w:bidi w:val="0"/>
        <w:adjustRightInd/>
        <w:snapToGrid/>
        <w:spacing w:beforeLines="0" w:afterLines="0" w:line="400" w:lineRule="atLeast"/>
        <w:ind w:firstLine="480" w:firstLineChars="200"/>
        <w:textAlignment w:val="auto"/>
        <w:rPr>
          <w:rFonts w:hint="eastAsia" w:asciiTheme="minorEastAsia" w:hAnsiTheme="minorEastAsia" w:eastAsiaTheme="minorEastAsia" w:cstheme="minorEastAsia"/>
          <w:spacing w:val="-6"/>
          <w:sz w:val="24"/>
          <w:szCs w:val="24"/>
          <w:lang w:eastAsia="zh-CN"/>
        </w:rPr>
      </w:pPr>
      <w:r>
        <w:rPr>
          <w:rFonts w:hint="eastAsia" w:asciiTheme="minorEastAsia" w:hAnsiTheme="minorEastAsia" w:eastAsiaTheme="minorEastAsia" w:cstheme="minorEastAsia"/>
          <w:b w:val="0"/>
          <w:bCs/>
          <w:sz w:val="24"/>
          <w:szCs w:val="24"/>
        </w:rPr>
        <w:t>展览：胡晟</w:t>
      </w:r>
      <w:r>
        <w:rPr>
          <w:rFonts w:hint="eastAsia" w:asciiTheme="minorEastAsia" w:hAnsiTheme="minorEastAsia" w:eastAsiaTheme="minorEastAsia" w:cstheme="minorEastAsia"/>
          <w:b w:val="0"/>
          <w:bCs/>
          <w:sz w:val="24"/>
          <w:szCs w:val="24"/>
          <w:lang w:val="en-US" w:eastAsia="zh-CN"/>
        </w:rPr>
        <w:t xml:space="preserve"> </w:t>
      </w:r>
      <w:r>
        <w:rPr>
          <w:rFonts w:hint="eastAsia" w:asciiTheme="minorEastAsia" w:hAnsiTheme="minorEastAsia" w:eastAsiaTheme="minorEastAsia" w:cstheme="minorEastAsia"/>
          <w:b w:val="0"/>
          <w:bCs/>
          <w:sz w:val="24"/>
          <w:szCs w:val="24"/>
        </w:rPr>
        <w:t>18618343971</w:t>
      </w:r>
      <w:r>
        <w:rPr>
          <w:rFonts w:hint="eastAsia" w:asciiTheme="minorEastAsia" w:hAnsiTheme="minorEastAsia" w:eastAsiaTheme="minorEastAsia" w:cstheme="minorEastAsia"/>
          <w:b w:val="0"/>
          <w:bCs/>
          <w:sz w:val="24"/>
          <w:szCs w:val="24"/>
          <w:lang w:val="en-US" w:eastAsia="zh-CN"/>
        </w:rPr>
        <w:t xml:space="preserve"> </w:t>
      </w:r>
      <w:r>
        <w:rPr>
          <w:rFonts w:hint="eastAsia" w:asciiTheme="minorEastAsia" w:hAnsiTheme="minorEastAsia" w:eastAsiaTheme="minorEastAsia" w:cstheme="minorEastAsia"/>
          <w:b w:val="0"/>
          <w:bCs/>
          <w:sz w:val="24"/>
          <w:szCs w:val="24"/>
        </w:rPr>
        <w:t>010-67663114转8006</w:t>
      </w:r>
      <w:r>
        <w:rPr>
          <w:rFonts w:hint="eastAsia" w:asciiTheme="minorEastAsia" w:hAnsiTheme="minorEastAsia" w:eastAsiaTheme="minorEastAsia" w:cstheme="minorEastAsia"/>
          <w:b w:val="0"/>
          <w:bCs/>
          <w:sz w:val="24"/>
          <w:szCs w:val="24"/>
          <w:lang w:eastAsia="zh-CN"/>
        </w:rPr>
        <w:t>；</w:t>
      </w:r>
      <w:r>
        <w:rPr>
          <w:rFonts w:hint="eastAsia" w:asciiTheme="minorEastAsia" w:hAnsiTheme="minorEastAsia" w:eastAsiaTheme="minorEastAsia" w:cstheme="minorEastAsia"/>
          <w:b w:val="0"/>
          <w:bCs/>
          <w:spacing w:val="-6"/>
          <w:sz w:val="24"/>
          <w:szCs w:val="24"/>
        </w:rPr>
        <w:t>husheng@caffci.org</w:t>
      </w:r>
      <w:r>
        <w:rPr>
          <w:rFonts w:hint="eastAsia" w:asciiTheme="minorEastAsia" w:hAnsiTheme="minorEastAsia" w:eastAsiaTheme="minorEastAsia" w:cstheme="minorEastAsia"/>
          <w:spacing w:val="-6"/>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（二）江苏日化协会</w:t>
      </w:r>
    </w:p>
    <w:p>
      <w:pPr>
        <w:keepNext w:val="0"/>
        <w:keepLines w:val="0"/>
        <w:pageBreakBefore w:val="0"/>
        <w:widowControl w:val="0"/>
        <w:kinsoku/>
        <w:wordWrap/>
        <w:overflowPunct/>
        <w:topLinePunct w:val="0"/>
        <w:bidi w:val="0"/>
        <w:snapToGrid/>
        <w:spacing w:beforeLines="0" w:afterLines="0" w:line="400" w:lineRule="atLeas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联系人：吴萍 13913161073；李瑶 15995736637；孔楠 13063898154</w:t>
      </w:r>
    </w:p>
    <w:p>
      <w:pPr>
        <w:keepNext w:val="0"/>
        <w:keepLines w:val="0"/>
        <w:pageBreakBefore w:val="0"/>
        <w:widowControl w:val="0"/>
        <w:kinsoku/>
        <w:wordWrap/>
        <w:overflowPunct/>
        <w:topLinePunct w:val="0"/>
        <w:bidi w:val="0"/>
        <w:snapToGrid/>
        <w:spacing w:beforeLines="0" w:afterLines="0" w:line="400" w:lineRule="atLeast"/>
        <w:jc w:val="righ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江苏省日用化学品行业协会</w:t>
      </w:r>
    </w:p>
    <w:p>
      <w:pPr>
        <w:keepNext w:val="0"/>
        <w:keepLines w:val="0"/>
        <w:pageBreakBefore w:val="0"/>
        <w:widowControl w:val="0"/>
        <w:kinsoku/>
        <w:wordWrap/>
        <w:overflowPunct/>
        <w:topLinePunct w:val="0"/>
        <w:bidi w:val="0"/>
        <w:snapToGrid/>
        <w:spacing w:beforeLines="0" w:afterLines="0" w:line="400" w:lineRule="atLeast"/>
        <w:ind w:firstLine="480" w:firstLineChars="200"/>
        <w:jc w:val="righ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2024年9月13日</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关于召开第十次会员大会</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暨第五届国际口腔护理学术研讨会的通知</w:t>
      </w:r>
    </w:p>
    <w:p>
      <w:pPr>
        <w:keepNext w:val="0"/>
        <w:keepLines w:val="0"/>
        <w:pageBreakBefore w:val="0"/>
        <w:widowControl w:val="0"/>
        <w:kinsoku/>
        <w:wordWrap/>
        <w:overflowPunct/>
        <w:topLinePunct w:val="0"/>
        <w:autoSpaceDE/>
        <w:autoSpaceDN/>
        <w:bidi w:val="0"/>
        <w:adjustRightInd/>
        <w:snapToGrid/>
        <w:spacing w:line="460" w:lineRule="atLeast"/>
        <w:ind w:left="0" w:leftChars="0" w:firstLine="0" w:firstLineChars="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各会员单位：</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经研究，定于2024年11月3-6日在广东省深圳市召开协会第十次会员大会暨第五届国际口腔护理学术研讨会。现将具体事项通知如下：</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一、会议时间</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11月3日 参会人员报到、理事长办公会议、监事会会议</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11月4日 第十次会员大会暨协会成立四十周年庆典</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11月5日 第五届国际口腔护理学术研讨会</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11月6日 科技委、标委会会议（仅限两个委员会的委员参加）</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二、会议地点</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深圳登喜路国际大酒店</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地址：深圳市宝安区宝田一路12号</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酒店总机：0755-23008888</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三、参会人员</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1．会员单位主要负责人1-2人；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2．协会监事会委员、科技委委员、标委会委员、市场及公益工作委员会委员、专家组成员；</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3．特邀嘉宾。</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四、会议内容</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（一）第十次会员大会</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1．原中央编办副主任、中国轻工业联合会张崇和会长讲话；</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2．第八届理事会工作报告；</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3．第八届理事会财务工作报告；</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4．监事会工作报告；</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5．关于章程的修改说明；</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6．讨论通过第八届理事会工作报告、财务工作报告、监事会工作报告和协会新修订章程（相关文件将于会前一周内发至会员群，请相关负责人提前阅议。）</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7．中国轻工业联合会党建人事部领导宣读中央社会工作部《关于中国口腔清洁护理用品工业协会第九届理事会负责人人选审核结果的通知》；</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8．选举协会第九届理事会理事、常务理事单位和理事会负责人；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9．投票表决协会会费标准；</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10．行业市场发展报告；</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11．宣布第九届理事会理事、常务理事和理事会负责人选举结果；</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12．宣布会费标准表决结果；</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13．行业发展交流；</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14．百年大变局下的国家安全战略思考报告；</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15．协会成立四十周年庆典活动与表彰。</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（二）第五届国际口腔护理学术研讨会（会议议程另发）</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（三）科技委、标委会会议（会议议程另发）</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五、有关问题</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（一）参会人员交通、住宿费用自理。住宿费用入住时直接与酒店前台结算，具体标准：</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深圳登喜路国际大酒店：大床、双床房500元/间/天，套房890元/间/天，房间价格均含早餐。</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深圳嘉禧酒店（凤凰天誉店）：大床、双床房358元/间/天，含早餐。（酒店地址：宝安区西乡街道凤凰社区凤凰天誉华府B座101，登喜路酒店对面）</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因房间数量有限，会务组将尽量根据参会回执表中填写的住宿需求预留房间，如所选房型已订满，将自动调整为其他房型。</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（二）会议费：会员单位1500元/人，非会员单位2800元/人。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会议费请尽量安排提前汇款，汇款时备注：会议费和电子发票接收邮箱；现场缴费的代表，请尽量使用微信或支付宝扫码支付。汇款方式：</w:t>
      </w:r>
    </w:p>
    <w:p>
      <w:pPr>
        <w:keepNext w:val="0"/>
        <w:keepLines w:val="0"/>
        <w:pageBreakBefore w:val="0"/>
        <w:widowControl w:val="0"/>
        <w:numPr>
          <w:ilvl w:val="0"/>
          <w:numId w:val="4"/>
        </w:numPr>
        <w:kinsoku/>
        <w:wordWrap/>
        <w:overflowPunct/>
        <w:topLinePunct w:val="0"/>
        <w:autoSpaceDE/>
        <w:autoSpaceDN/>
        <w:bidi w:val="0"/>
        <w:adjustRightInd/>
        <w:snapToGrid/>
        <w:spacing w:line="460" w:lineRule="atLeast"/>
        <w:jc w:val="lef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转账支付：</w:t>
      </w:r>
    </w:p>
    <w:p>
      <w:pPr>
        <w:keepNext w:val="0"/>
        <w:keepLines w:val="0"/>
        <w:pageBreakBefore w:val="0"/>
        <w:widowControl w:val="0"/>
        <w:numPr>
          <w:ilvl w:val="0"/>
          <w:numId w:val="0"/>
        </w:numPr>
        <w:kinsoku/>
        <w:wordWrap/>
        <w:overflowPunct/>
        <w:topLinePunct w:val="0"/>
        <w:autoSpaceDE/>
        <w:autoSpaceDN/>
        <w:bidi w:val="0"/>
        <w:adjustRightInd/>
        <w:snapToGrid/>
        <w:spacing w:line="460" w:lineRule="atLeast"/>
        <w:ind w:firstLine="480" w:firstLineChars="200"/>
        <w:jc w:val="lef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户名：中国口腔清洁护理用品工业协会</w:t>
      </w:r>
    </w:p>
    <w:p>
      <w:pPr>
        <w:keepNext w:val="0"/>
        <w:keepLines w:val="0"/>
        <w:pageBreakBefore w:val="0"/>
        <w:widowControl w:val="0"/>
        <w:numPr>
          <w:ilvl w:val="0"/>
          <w:numId w:val="0"/>
        </w:numPr>
        <w:kinsoku/>
        <w:wordWrap/>
        <w:overflowPunct/>
        <w:topLinePunct w:val="0"/>
        <w:autoSpaceDE/>
        <w:autoSpaceDN/>
        <w:bidi w:val="0"/>
        <w:adjustRightInd/>
        <w:snapToGrid/>
        <w:spacing w:line="460" w:lineRule="atLeast"/>
        <w:ind w:firstLine="480" w:firstLineChars="200"/>
        <w:jc w:val="lef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开户行：工行北京阜外大街支行</w:t>
      </w:r>
    </w:p>
    <w:p>
      <w:pPr>
        <w:keepNext w:val="0"/>
        <w:keepLines w:val="0"/>
        <w:pageBreakBefore w:val="0"/>
        <w:widowControl w:val="0"/>
        <w:numPr>
          <w:ilvl w:val="0"/>
          <w:numId w:val="0"/>
        </w:numPr>
        <w:kinsoku/>
        <w:wordWrap/>
        <w:overflowPunct/>
        <w:topLinePunct w:val="0"/>
        <w:autoSpaceDE/>
        <w:autoSpaceDN/>
        <w:bidi w:val="0"/>
        <w:adjustRightInd/>
        <w:snapToGrid/>
        <w:spacing w:line="460" w:lineRule="atLeast"/>
        <w:ind w:firstLine="480" w:firstLineChars="200"/>
        <w:jc w:val="lef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账号：0200 0492 0902 4921 210</w:t>
      </w:r>
    </w:p>
    <w:p>
      <w:pPr>
        <w:keepNext w:val="0"/>
        <w:keepLines w:val="0"/>
        <w:pageBreakBefore w:val="0"/>
        <w:widowControl w:val="0"/>
        <w:numPr>
          <w:ilvl w:val="0"/>
          <w:numId w:val="4"/>
        </w:numPr>
        <w:kinsoku/>
        <w:wordWrap/>
        <w:overflowPunct/>
        <w:topLinePunct w:val="0"/>
        <w:autoSpaceDE/>
        <w:autoSpaceDN/>
        <w:bidi w:val="0"/>
        <w:adjustRightInd/>
        <w:snapToGrid/>
        <w:spacing w:line="460" w:lineRule="atLeast"/>
        <w:jc w:val="lef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微信或支付宝扫码支付：</w:t>
      </w:r>
    </w:p>
    <w:p>
      <w:pPr>
        <w:keepNext w:val="0"/>
        <w:keepLines w:val="0"/>
        <w:pageBreakBefore w:val="0"/>
        <w:widowControl w:val="0"/>
        <w:numPr>
          <w:ilvl w:val="0"/>
          <w:numId w:val="0"/>
        </w:numPr>
        <w:kinsoku/>
        <w:wordWrap/>
        <w:overflowPunct/>
        <w:topLinePunct w:val="0"/>
        <w:autoSpaceDE/>
        <w:autoSpaceDN/>
        <w:bidi w:val="0"/>
        <w:adjustRightInd/>
        <w:snapToGrid/>
        <w:spacing w:line="460" w:lineRule="atLeas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drawing>
          <wp:inline distT="0" distB="0" distL="114300" distR="114300">
            <wp:extent cx="1155700" cy="981710"/>
            <wp:effectExtent l="0" t="0" r="6350" b="8890"/>
            <wp:docPr id="7"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56"/>
                    <pic:cNvPicPr>
                      <a:picLocks noChangeAspect="1"/>
                    </pic:cNvPicPr>
                  </pic:nvPicPr>
                  <pic:blipFill>
                    <a:blip r:embed="rId11"/>
                    <a:stretch>
                      <a:fillRect/>
                    </a:stretch>
                  </pic:blipFill>
                  <pic:spPr>
                    <a:xfrm>
                      <a:off x="0" y="0"/>
                      <a:ext cx="1155700" cy="981710"/>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根据协会章程，两年未缴纳会费的单位视为自动退会。未按时缴纳会费的单位如需参会，按非会员单位标准收取会议费。</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（三）请各单位接此通知后尽快确定参会人员,并于10月15日前将参会回执表回复至协会秘书处邮箱。副理事长以上领导和特邀嘉宾如需接送，请11月1日前将航班号或车次告知协会秘书处。</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（四）11月3日下午16：00召开理事长办公会议、监事会会议，请秘书长以上领导、监事会成员准时参加。</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五）有意在大会上进行新工艺、新产品、新技术有偿推介的单位，请及时联系会务组，并于10月15日前将发言提纲或新品介绍发到秘书处邮箱。会议将择优择新选取5-6家分别安排在会员大会和学术研讨会上进行推介发言。</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（六）为庆祝协会成立四十周年，本次会议将选择20家企业产品在会场周边参加行业发展新成果展示，有意参加者请于10月10日前报协会秘书处。</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（七）报到乘车路线：</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1．飞机：深圳宝安国际机场：距酒店约13公里。乘坐出租车30分钟左右车程，费用约30元。</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2．高铁：深圳北站：距酒店约24公里。乘坐地铁5号线（环中线）至灵芝站，换乘12号线（南宝线）至宝田一路站C口出，步行约150米即到酒店；或乘坐出租车45分钟左右车程，费用约60元。</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深圳站：距酒店约30公里。步行约300米乘坐地铁1号线罗宝线至桃园地铁站，换乘12号线（南宝线）至宝田一路站C口出，步行约150米即到酒店；或乘坐出租车50分钟左右车程，费用约70元。</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六、联系方式：</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1．会议报到联系人：魏俊红010-68396411  肖梅010-68396664。</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2．推介及展览展示相关联系人：高文颖010-68396095。</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3．会员会费及会议费相关联系人：李斯尚010-68396722邮箱：</w:t>
      </w:r>
      <w:r>
        <w:rPr>
          <w:rFonts w:hint="eastAsia" w:asciiTheme="minorEastAsia" w:hAnsiTheme="minorEastAsia" w:eastAsiaTheme="minorEastAsia" w:cstheme="minorEastAsia"/>
          <w:color w:val="auto"/>
          <w:u w:val="none"/>
          <w:lang w:val="en-US" w:eastAsia="zh-CN"/>
        </w:rPr>
        <w:t>cocia_info@126.com。</w:t>
      </w:r>
    </w:p>
    <w:p>
      <w:pPr>
        <w:keepNext w:val="0"/>
        <w:keepLines w:val="0"/>
        <w:pageBreakBefore w:val="0"/>
        <w:widowControl w:val="0"/>
        <w:kinsoku/>
        <w:wordWrap/>
        <w:overflowPunct/>
        <w:topLinePunct w:val="0"/>
        <w:autoSpaceDE/>
        <w:autoSpaceDN/>
        <w:bidi w:val="0"/>
        <w:adjustRightInd/>
        <w:snapToGrid/>
        <w:spacing w:line="460" w:lineRule="atLeast"/>
        <w:ind w:firstLine="0" w:firstLineChars="0"/>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附件：参会回执表</w:t>
      </w:r>
    </w:p>
    <w:p>
      <w:pPr>
        <w:keepNext w:val="0"/>
        <w:keepLines w:val="0"/>
        <w:pageBreakBefore w:val="0"/>
        <w:widowControl w:val="0"/>
        <w:kinsoku/>
        <w:wordWrap/>
        <w:overflowPunct/>
        <w:topLinePunct w:val="0"/>
        <w:autoSpaceDE/>
        <w:autoSpaceDN/>
        <w:bidi w:val="0"/>
        <w:adjustRightInd/>
        <w:snapToGrid/>
        <w:spacing w:line="460" w:lineRule="atLeast"/>
        <w:ind w:firstLine="0" w:firstLineChars="0"/>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drawing>
          <wp:inline distT="0" distB="0" distL="114300" distR="114300">
            <wp:extent cx="762000" cy="762000"/>
            <wp:effectExtent l="0" t="0" r="0" b="0"/>
            <wp:docPr id="8" name="图片 8" descr="口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口腔"/>
                    <pic:cNvPicPr>
                      <a:picLocks noChangeAspect="1"/>
                    </pic:cNvPicPr>
                  </pic:nvPicPr>
                  <pic:blipFill>
                    <a:blip r:embed="rId12"/>
                    <a:stretch>
                      <a:fillRect/>
                    </a:stretch>
                  </pic:blipFill>
                  <pic:spPr>
                    <a:xfrm flipH="1">
                      <a:off x="0" y="0"/>
                      <a:ext cx="762000" cy="7620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60" w:lineRule="atLeast"/>
        <w:jc w:val="righ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中国口腔清洁护理用品工业协会</w:t>
      </w:r>
    </w:p>
    <w:p>
      <w:pPr>
        <w:keepNext w:val="0"/>
        <w:keepLines w:val="0"/>
        <w:pageBreakBefore w:val="0"/>
        <w:widowControl w:val="0"/>
        <w:kinsoku/>
        <w:wordWrap/>
        <w:overflowPunct/>
        <w:topLinePunct w:val="0"/>
        <w:autoSpaceDE/>
        <w:autoSpaceDN/>
        <w:bidi w:val="0"/>
        <w:adjustRightInd/>
        <w:snapToGrid/>
        <w:spacing w:after="625" w:afterLines="200" w:line="460" w:lineRule="atLeast"/>
        <w:jc w:val="righ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2024年9月13日</w:t>
      </w:r>
    </w:p>
    <w:p>
      <w:pPr>
        <w:keepNext w:val="0"/>
        <w:keepLines w:val="0"/>
        <w:pageBreakBefore w:val="0"/>
        <w:widowControl w:val="0"/>
        <w:kinsoku/>
        <w:wordWrap/>
        <w:overflowPunct/>
        <w:topLinePunct w:val="0"/>
        <w:autoSpaceDE/>
        <w:autoSpaceDN/>
        <w:bidi w:val="0"/>
        <w:adjustRightInd/>
        <w:snapToGrid/>
        <w:spacing w:after="157" w:afterLines="50" w:line="600" w:lineRule="exact"/>
        <w:ind w:left="0" w:leftChars="0" w:firstLine="0" w:firstLineChars="0"/>
        <w:jc w:val="center"/>
        <w:textAlignment w:val="auto"/>
        <w:rPr>
          <w:rFonts w:hint="eastAsia" w:ascii="黑体" w:hAnsi="黑体" w:eastAsia="黑体" w:cs="黑体"/>
          <w:spacing w:val="-6"/>
          <w:sz w:val="36"/>
          <w:szCs w:val="36"/>
        </w:rPr>
      </w:pPr>
      <w:r>
        <w:rPr>
          <w:rFonts w:hint="eastAsia" w:ascii="黑体" w:hAnsi="黑体" w:eastAsia="黑体" w:cs="黑体"/>
          <w:spacing w:val="-6"/>
          <w:sz w:val="36"/>
          <w:szCs w:val="36"/>
        </w:rPr>
        <w:t>关于召开“中国日用化工行业年会（2024）”的通知</w:t>
      </w:r>
    </w:p>
    <w:p>
      <w:pPr>
        <w:keepNext w:val="0"/>
        <w:keepLines w:val="0"/>
        <w:pageBreakBefore w:val="0"/>
        <w:widowControl w:val="0"/>
        <w:kinsoku/>
        <w:wordWrap/>
        <w:overflowPunct/>
        <w:topLinePunct w:val="0"/>
        <w:autoSpaceDE/>
        <w:autoSpaceDN/>
        <w:bidi w:val="0"/>
        <w:adjustRightInd/>
        <w:snapToGrid/>
        <w:spacing w:after="157" w:afterLines="50" w:line="600" w:lineRule="exact"/>
        <w:ind w:left="0" w:leftChars="0" w:firstLine="0" w:firstLineChars="0"/>
        <w:jc w:val="center"/>
        <w:textAlignment w:val="auto"/>
        <w:rPr>
          <w:rFonts w:hint="eastAsia" w:ascii="黑体" w:hAnsi="黑体" w:eastAsia="黑体" w:cs="黑体"/>
          <w:spacing w:val="-6"/>
          <w:sz w:val="36"/>
          <w:szCs w:val="36"/>
          <w:lang w:eastAsia="zh-CN"/>
        </w:rPr>
      </w:pPr>
      <w:r>
        <w:rPr>
          <w:rFonts w:hint="eastAsia" w:ascii="黑体" w:hAnsi="黑体" w:eastAsia="黑体" w:cs="黑体"/>
          <w:spacing w:val="-6"/>
          <w:sz w:val="36"/>
          <w:szCs w:val="36"/>
          <w:lang w:eastAsia="zh-CN"/>
        </w:rPr>
        <w:t>（第一轮）</w:t>
      </w:r>
    </w:p>
    <w:p>
      <w:pPr>
        <w:keepNext w:val="0"/>
        <w:keepLines w:val="0"/>
        <w:pageBreakBefore w:val="0"/>
        <w:widowControl w:val="0"/>
        <w:kinsoku/>
        <w:wordWrap/>
        <w:overflowPunct/>
        <w:topLinePunct w:val="0"/>
        <w:autoSpaceDE/>
        <w:autoSpaceDN/>
        <w:bidi w:val="0"/>
        <w:adjustRightInd/>
        <w:snapToGrid/>
        <w:spacing w:line="420" w:lineRule="atLeast"/>
        <w:ind w:left="0" w:leftChars="0" w:firstLine="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各有关单位：</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为全面贯彻党的二十届三中全会精神，推动日化行业现代化产业体系建设，实现创新驱动发展战略，中国日用化工协会决定召开“中国日用化工行业年会（2024）”。年会将以建设日化强国为目标，围绕行业新质生产力发展提升，邀请行业领导、专家学者、领军人物，研判行业最新态势，交流创新成果，把握市场需求，洞察未来趋势，碰撞前沿思维，凝聚行业智慧，形成业界共识，把脉“十五五”发展方向。现将有关事项通知如下：</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一、会议主题</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激发新质活力</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迈向日化强国</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二、会议组织</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主办单位</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中国日用化工协会</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承办单位</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香氛专业委员会</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家居清洁护理专业委员会</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智能制造专业委员会</w:t>
      </w:r>
      <w:r>
        <w:rPr>
          <w:rFonts w:hint="eastAsia" w:asciiTheme="minorEastAsia" w:hAnsiTheme="minorEastAsia" w:eastAsiaTheme="minorEastAsia" w:cstheme="minorEastAsia"/>
          <w:lang w:eastAsia="zh-CN"/>
        </w:rPr>
        <w:t>。</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三、时间地点</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时间</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2024年12月5-7日</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地点</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苏州香格里拉大饭店</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地址：</w:t>
      </w:r>
      <w:r>
        <w:rPr>
          <w:rFonts w:hint="eastAsia" w:asciiTheme="minorEastAsia" w:hAnsiTheme="minorEastAsia" w:eastAsiaTheme="minorEastAsia" w:cstheme="minorEastAsia"/>
        </w:rPr>
        <w:t>江苏省苏州市虎丘区塔园路168号</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四、会议内容</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1.中国日用化工行业年会（2024）；</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2.中国香氛行业产业生态建设与发展论坛；</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3.中国清洁护理行业发展高峰论坛；</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4.新技术、新成果、新产品宣传展示。</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五、参会人员</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行业管理相关领导、行业专家、日用化学品品牌企业、上游原料供应商、产业链上的包装、设备供应商、加工企业（OEM/ODM工厂）、第三方服务企业（标准制定、检测、认证、咨询、平台等）以及高等院校、科研院所等相关人员。</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六、</w:t>
      </w:r>
      <w:r>
        <w:rPr>
          <w:rFonts w:hint="eastAsia" w:asciiTheme="minorEastAsia" w:hAnsiTheme="minorEastAsia" w:eastAsiaTheme="minorEastAsia" w:cstheme="minorEastAsia"/>
          <w:lang w:val="en-US" w:eastAsia="zh-CN"/>
        </w:rPr>
        <w:t>会议咨询</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本次会议期间，设立多种宣传方式，展示企业形象、产品以及产业链的最新技术、产品及解决方案。欢迎行业上下游企业积极参与，咨询洽谈。</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负责人</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徐茹：13501001201</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赵旸宇：13521823890</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联系人</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陈伟：13520586205</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刘璟：18601319373</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宁仲锐：18434379946</w:t>
      </w:r>
    </w:p>
    <w:p>
      <w:pPr>
        <w:keepNext w:val="0"/>
        <w:keepLines w:val="0"/>
        <w:pageBreakBefore w:val="0"/>
        <w:widowControl w:val="0"/>
        <w:kinsoku/>
        <w:wordWrap/>
        <w:overflowPunct/>
        <w:topLinePunct w:val="0"/>
        <w:autoSpaceDE/>
        <w:autoSpaceDN/>
        <w:bidi w:val="0"/>
        <w:adjustRightInd/>
        <w:snapToGrid/>
        <w:spacing w:line="42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"javascript:void(0);"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中国日用化工协会</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lang w:eastAsia="zh-CN"/>
        </w:rPr>
        <w:t>）</w:t>
      </w:r>
    </w:p>
    <w:p>
      <w:pPr>
        <w:keepNext w:val="0"/>
        <w:keepLines w:val="0"/>
        <w:pageBreakBefore w:val="0"/>
        <w:widowControl w:val="0"/>
        <w:kinsoku/>
        <w:wordWrap/>
        <w:overflowPunct/>
        <w:topLinePunct w:val="0"/>
        <w:autoSpaceDE/>
        <w:autoSpaceDN/>
        <w:bidi w:val="0"/>
        <w:adjustRightInd/>
        <w:snapToGrid/>
        <w:spacing w:line="420" w:lineRule="atLeast"/>
        <w:jc w:val="right"/>
        <w:textAlignment w:val="auto"/>
        <w:rPr>
          <w:rFonts w:hint="eastAsia" w:asciiTheme="minorEastAsia" w:hAnsiTheme="minorEastAsia" w:eastAsiaTheme="minorEastAsia" w:cstheme="minor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非常重要！化妆品标签中防腐剂标注有规可循，</w:t>
      </w:r>
    </w:p>
    <w:p>
      <w:pPr>
        <w:keepNext w:val="0"/>
        <w:keepLines w:val="0"/>
        <w:pageBreakBefore w:val="0"/>
        <w:widowControl w:val="0"/>
        <w:kinsoku/>
        <w:wordWrap/>
        <w:overflowPunct/>
        <w:topLinePunct w:val="0"/>
        <w:autoSpaceDE/>
        <w:autoSpaceDN/>
        <w:bidi w:val="0"/>
        <w:adjustRightInd/>
        <w:snapToGrid/>
        <w:spacing w:after="157" w:afterLines="50" w:line="56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千万别被误导了！</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近期，有关化妆品检出未标识防腐剂的报道甚嚣尘上，为包括薇诺娜、如薇、瑷尔博士等在内的企业正常生产经营活动带来困扰，引发公众关注与热议。</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防腐剂是确保原料稳定，保护产品免受微生物污染，确保使用期限内产品质量安全的重要原料，对保护消费者健康发挥着重要作用。我国对化妆品防腐剂的使用有着十分明确的监管要求，必须遵照《化妆品安全技术规范》中“化妆品准用防腐剂”表的相关要求进行使用。</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防腐剂存在于化妆品中主要有两种形式，一种是在化妆品生产过程中有目的的添加到产品配方中，用于确保产品稳定性的防腐剂。另一种则是为保证化妆品原料质量在原料中添加且在最终产品中含量极微的防腐剂。</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因后者在使用目的、带入形式、含量等方面有别于前者，所以中国食品药品检定研究院2023年发布的《化妆品配方填报技术指导原则》中明确此类成分不属于化妆品配方成分。同时国家药品监督管理局也在《化妆品监督管理常见问题解答(五)》中明确，为了保证化妆品原料质量而在原料中添加的极其微量的抗氧化剂、防腐剂、稳定剂等成分可以在标签中标注，也可以不标注。</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2024年8月7日，上海市药品监督管理局就韩束相关化妆品外包装未标示检出防腐剂一事的答复告知书也再次重申了上述技术指南和监管问答精神。</w:t>
      </w:r>
    </w:p>
    <w:p>
      <w:pPr>
        <w:keepNext w:val="0"/>
        <w:keepLines w:val="0"/>
        <w:pageBreakBefore w:val="0"/>
        <w:widowControl w:val="0"/>
        <w:kinsoku/>
        <w:wordWrap/>
        <w:overflowPunct/>
        <w:topLinePunct w:val="0"/>
        <w:autoSpaceDE/>
        <w:autoSpaceDN/>
        <w:bidi w:val="0"/>
        <w:adjustRightInd/>
        <w:snapToGrid/>
        <w:spacing w:after="625" w:afterLines="200" w:line="420" w:lineRule="atLeast"/>
        <w:textAlignment w:val="auto"/>
      </w:pPr>
      <w:r>
        <w:rPr>
          <w:rFonts w:hint="eastAsia" w:asciiTheme="minorEastAsia" w:hAnsiTheme="minorEastAsia" w:eastAsiaTheme="minorEastAsia" w:cstheme="minorEastAsia"/>
        </w:rPr>
        <w:t>因此，中国香料香精化妆品工业协会呼吁广大消费者由正规渠道购买化妆品，并理性看待“化妆品检出未标识微量防腐剂”的有关报道，切勿因不实报道而产生“舆情焦虑”。</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eastAsia="zh-CN"/>
        </w:rPr>
        <w:t>（来源：中国香妆）</w:t>
      </w:r>
    </w:p>
    <w:p>
      <w:pPr>
        <w:keepNext w:val="0"/>
        <w:keepLines w:val="0"/>
        <w:pageBreakBefore w:val="0"/>
        <w:widowControl w:val="0"/>
        <w:kinsoku/>
        <w:wordWrap/>
        <w:overflowPunct/>
        <w:topLinePunct w:val="0"/>
        <w:autoSpaceDE/>
        <w:autoSpaceDN/>
        <w:bidi w:val="0"/>
        <w:adjustRightInd/>
        <w:snapToGrid/>
        <w:spacing w:after="157" w:afterLines="50" w:line="560" w:lineRule="exact"/>
        <w:ind w:left="0" w:leftChars="0" w:firstLine="0" w:firstLineChars="0"/>
        <w:jc w:val="center"/>
        <w:textAlignment w:val="auto"/>
        <w:rPr>
          <w:rFonts w:hint="eastAsia" w:ascii="黑体" w:hAnsi="黑体" w:eastAsia="黑体" w:cs="黑体"/>
          <w:spacing w:val="-11"/>
          <w:sz w:val="36"/>
          <w:szCs w:val="36"/>
        </w:rPr>
      </w:pPr>
      <w:r>
        <w:rPr>
          <w:rFonts w:hint="eastAsia" w:ascii="黑体" w:hAnsi="黑体" w:eastAsia="黑体" w:cs="黑体"/>
          <w:spacing w:val="-11"/>
          <w:sz w:val="36"/>
          <w:szCs w:val="36"/>
        </w:rPr>
        <w:t>中国化妆品行业2024年上半年的主要数据</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随着2024年上半年中国化妆品行业的相关数据的发布，有关中国化妆品行业2024年上半年整体市场表现的相关核心内容和数据参考如下：</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1.零售数据：</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2024年上半年，限额以上化妆品类总零售额为2168亿元，同比增长1.0%。</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化妆品类零售额的增长低于社会消费品零售总额的同比增幅（3.7%）和全国GDP增速（5.0%）。</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2.进出口数据：</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进口量：157437.6吨，同比下降13.6%。进口金额：593.2亿元，同比下降9.6%。出口量：585243吨，同比增长15.9%。出口金额：232.5亿元，同比增长11.9%。</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3.外贸形势分析：</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进出口总额：116.3亿美元，同比下降7.2%。进口总额：83.6亿美元，同比下降12.3%。出口总额：32.7亿美元，同比增长8.7%。主要进口来源国：法国、日本、韩国、美国和英国。主要出口目的地：美国、中国香港、英国、日本和荷兰。</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4.市场规模数据：</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总销售额：4792.5亿元，同比增长2.38%。线上销售：2411.1亿元，同比增长4.02%。线下销售：2381.4亿元，同比增长0.77%。本土化妆品销售额占比：56.7%，超过外资化妆品市场份额。</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5.线上渠道销售：</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淘系（淘宝+天猫）：1109.45亿元。抖音：872.1亿元。京东：239.55亿元。快手：85.01亿元。其他线上渠道：105亿元。</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6.线下渠道销售：</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百货渠道：1119.25亿元。CS渠道：904.92亿元。KA渠道：357.21亿元。</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7.品牌销售数据：</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线上销量（GMV）TP20品牌包括欧莱雅、珀莱雅、兰蔻、雅诗兰黛等，其中珀莱雅和韩束的同比增长率较高。</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8.美妆线上市场规模：</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全网美妆品牌GMV：2627亿元。护肤类：1470.5亿元。彩妆类：514.9亿元。洗护类：279.1亿元。面膜类：176.5亿元。口腔类：99.7亿元。香水类：55.4亿元。男士面部护肤类：30.9亿元。</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上面的数据提供了中国化妆品行业在2024年上半年的整体市场表现，包括零售、进出口、市场规模、渠道销售和品牌表现等多个方面的信息参考。</w:t>
      </w:r>
    </w:p>
    <w:p>
      <w:pPr>
        <w:keepNext w:val="0"/>
        <w:keepLines w:val="0"/>
        <w:pageBreakBefore w:val="0"/>
        <w:widowControl w:val="0"/>
        <w:kinsoku/>
        <w:wordWrap/>
        <w:overflowPunct/>
        <w:topLinePunct w:val="0"/>
        <w:autoSpaceDE/>
        <w:autoSpaceDN/>
        <w:bidi w:val="0"/>
        <w:adjustRightInd/>
        <w:snapToGrid/>
        <w:spacing w:line="40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（节选自：中国香妆）</w:t>
      </w:r>
    </w:p>
    <w:p>
      <w:pPr>
        <w:keepNext w:val="0"/>
        <w:keepLines w:val="0"/>
        <w:pageBreakBefore w:val="0"/>
        <w:widowControl w:val="0"/>
        <w:kinsoku/>
        <w:wordWrap/>
        <w:overflowPunct/>
        <w:topLinePunct w:val="0"/>
        <w:autoSpaceDE/>
        <w:autoSpaceDN/>
        <w:bidi w:val="0"/>
        <w:adjustRightInd/>
        <w:snapToGrid/>
        <w:spacing w:after="157" w:afterLines="50"/>
        <w:ind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江西成立美妆协会促化妆品行业发展</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为增强化妆品行业企业质量安全意识，强化行业自律，提升行业的科技创新和品牌发展能力，促进江西化妆品行业高质量发展，8月16日，江西省美妆协会成立大会暨第一次会员大会在南昌召开。赣江新区党工委委员、管委会副主任许斌出席，江西省药监局党组成员、副局长吴腮忠、江西省民政厅社会组织管理局副局长姜鹏举出席会议并讲话，江西省市场监督管理局行业综合委员会代表出席大会。</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吴腮忠指出，随着人民生活水平的不断提高，以化妆品为代表的时尚美妆正日益成为人民美好生活的重要组成部分。江西绿色生态资源丰富，化妆品生产供应需求巨大，产业发展基础很好，但是化妆品产业的发展又面临新的机遇和挑战，与先进的外省市相比还有较大差距。《化妆品监督管理条例》明确了行业协会的职责，组建江西省美妆协会，是形势发展的必然要求，是推进化妆品行业向更高层次发展的必然选择，对于转变政府职能，促进企业自律，增强行业整体素质，推进化妆品产业化进程都具有十分重要的意义。希望江西化妆品行业企业要加强科研创新，强化产品质量和安全意识，推动品牌赣妆走出江西、走出全国，通过协会携手发展，资源共享，优势互补，成为江西经济发展的排头兵。省药监局将以保障公众用妆安全、服务产业发展为已任，着力构建新时代化妆品监管体系，与业界一起努力推动全省化妆品产业高质量发展。</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姜鹏举对江西省美妆协会成立表示祝贺，要求协会切实履行好协助政府监管行业自律的责任，督促引导化妆品生产经营者依法从事生产经营活动，推动行业诚信建设，接受监督管理，承担社会责任，更好满足公众美丽消费新需求。会上还举行了诚信经营宣誓仪式，江西省美妆协会第一届领导班子带领全体会员郑重宣誓，表达全体会员践行企业责任，提高服务品质的决心。</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大会审议并通过了《江西省美妆协会章程》《江西省美妆协会会费标准与管理办法》《江西省美妆协会选举办法》，会议中选举产生了协会理事单位、副会长单位、会长单位，雪玲妃集团董事长戴丽华当选为“江西省美妆协会会长”。</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会议采取线下线上的方式召开。江西省药监局化妆品监管处、省药品检验检测研究院负责人，赣江新区管委会领导及市场监管局负责人，南昌市市场监管局分管领导及科室负责人，江西中医药大学有关专家，以及相关行业协会领导、嘉宾、江西省美妆协会各会员单位代表共130余人参加线下会议，全省化妆品生产企业、经营使用单位和各级化妆品监管有关部门通过线上云直播的方式参加会议。</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江西美妆协会的成立，不仅是江西省美妆行业发展的一件大事，也是推动地区经济繁荣、提升人民生活品质的重要举措，必将为江西省乃至全国的美妆行业注入新的活力，推动行业向更高质量、更深层次、更广领域发展。</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衷心期待江西美妆协会在新的征程上，能够发挥桥梁和纽带的作用，加强行业内外的交流与合作，促进资源共享，为推动美妆行业的繁荣发展做出新的更大贡献！</w:t>
      </w:r>
    </w:p>
    <w:p>
      <w:pPr>
        <w:keepNext w:val="0"/>
        <w:keepLines w:val="0"/>
        <w:pageBreakBefore w:val="0"/>
        <w:widowControl w:val="0"/>
        <w:kinsoku/>
        <w:wordWrap/>
        <w:overflowPunct/>
        <w:topLinePunct w:val="0"/>
        <w:autoSpaceDE/>
        <w:autoSpaceDN/>
        <w:bidi w:val="0"/>
        <w:adjustRightInd/>
        <w:snapToGrid/>
        <w:spacing w:after="625" w:afterLines="200" w:line="46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"javascript:void(0);"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lang w:eastAsia="zh-CN"/>
        </w:rPr>
        <w:t>日</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lang w:eastAsia="zh-CN"/>
        </w:rPr>
        <w:t>化协会秘书处）</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这个计划开100年的会议，迎来了它的十年辉煌</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8月18日，以“抛鞋·择路”为主题的2024化妆品百强会议在上海锦江饭店召开，本次会议由CBO化妆品财经在线、中国百货商业协会联合主办，化妆品报、唯美工匠、全球化妆品武汉交易博览会协办。</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行至十年，化妆品百强会议已经成为化妆品行业最具影响力的活动之一，当前化妆品行业正处于快速变化的时代，面对市场环境和消费需求的变化，化妆品行业需要急需重建价值体系和商业体系。”中国百货商业协会会长范君在开场致辞中表示。</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绿叶科技集团董事长徐建成在《公海打鱼，我们在全球开了3600家店》演讲中表示“不只做14亿人的市场要做80亿人的市场，所有企业都会被”出海”重塑一遍。”同时，他也为出海企业应对挑战提供了实用的“避坑指南”。</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会议的最后圆桌对话环节，在化妆品财经在线CEO杜伟的主持下，东南亚头部电商F-Commerce创始人&amp;CEO姬鲲、绿叶科技集团董事长徐建成、欧菲姿时尚集团董事长夏胜成，就“跨山越海闯全球”为主题，共同探讨中国化妆品品牌出海的话题。</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首先关于最适合化妆品出海的区域问题，各位对话嘉宾根据自己情况给出了不同的答案，其中，东南亚被认为是热门的出海区域，富有极大的增长潜力。</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绿叶科技集团董事长徐建成和东南亚头部电商F-Commerce创始人&amp;CEO姬鲲都表示，东南亚地区适合建厂。“目前，大家把机会都在印尼，因为印尼相对来说，政治关系比较稳定，管控进厂很严格，因此对本地建厂是很有利的。</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此外，在管控公司方面，我建议应该更数据化、更系统的管理方式，如果我们到东南亚还是做一个东南亚风格的公司，其实我们到那里是没有机会的。”姬鲲解释道。</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此外，徐建成认为，中亚市场也存在着巨大的商机，中亚化妆品工厂很少，基本靠进口，但是中亚的化妆品价格较低，因此，不适合高端化妆品，适合日化。</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品牌出海应该以什么为重点？姬鲲表示：“首先第一要素是产品力，如果你的产品力越弱，你对渠道和营销的要求就越高。如果酒香怕巷子深，那大概率是产品不行。所以，尽量扎实走好产品这条路，别舍本逐末地拼命去学习营销。”</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欧菲姿时尚集团董事长夏胜成认为要懂得合理利用企业自己的核心优势，以及所处在的环境优势开拓海外矩阵。“出海是一个长期的过程，要找到合适的切入点，找到当地畅销且更有优势的产品。此外，中国的供应链存在着优势，中国的包材、中国的印刷不管是技术还是成本都具有一定优势。”</w:t>
      </w:r>
    </w:p>
    <w:p>
      <w:pPr>
        <w:keepNext w:val="0"/>
        <w:keepLines w:val="0"/>
        <w:pageBreakBefore w:val="0"/>
        <w:widowControl w:val="0"/>
        <w:kinsoku/>
        <w:wordWrap/>
        <w:overflowPunct/>
        <w:topLinePunct w:val="0"/>
        <w:autoSpaceDE/>
        <w:autoSpaceDN/>
        <w:bidi w:val="0"/>
        <w:adjustRightInd/>
        <w:snapToGrid/>
        <w:spacing w:line="45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在会议的最后，化妆品财经在线CEO杜伟总结道：“绿色低碳、出海捕鱼，是中国化妆品行业努力奋斗的方向和目标，无论有多少坑要踩，无论有多少雷要排，我们终将带着中国化妆品品牌的印记，开创属于中国化妆品的全球市场。”</w:t>
      </w:r>
      <w:r>
        <w:rPr>
          <w:rFonts w:hint="eastAsia" w:asciiTheme="minorEastAsia" w:hAnsiTheme="minorEastAsia" w:eastAsiaTheme="minorEastAsia" w:cstheme="minorEastAsia"/>
          <w:lang w:eastAsia="zh-CN"/>
        </w:rPr>
        <w:t>（信息来源：化妆品报）</w:t>
      </w:r>
    </w:p>
    <w:p>
      <w:pPr>
        <w:keepNext w:val="0"/>
        <w:keepLines w:val="0"/>
        <w:pageBreakBefore w:val="0"/>
        <w:widowControl w:val="0"/>
        <w:kinsoku/>
        <w:wordWrap/>
        <w:overflowPunct/>
        <w:topLinePunct w:val="0"/>
        <w:autoSpaceDE/>
        <w:autoSpaceDN/>
        <w:bidi w:val="0"/>
        <w:adjustRightInd/>
        <w:snapToGrid/>
        <w:spacing w:line="440" w:lineRule="atLeast"/>
        <w:jc w:val="right"/>
        <w:textAlignment w:val="auto"/>
        <w:rPr>
          <w:rFonts w:hint="eastAsia" w:asciiTheme="minorEastAsia" w:hAnsiTheme="minorEastAsia" w:eastAsiaTheme="minorEastAsia" w:cstheme="minorEastAsia"/>
          <w:lang w:eastAsia="zh-CN"/>
        </w:rPr>
      </w:pP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徐建成1对1帮扶助学已完成本年度捐助</w:t>
      </w: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7月至8月，在新学年开学之际，由绿叶科技集团董事长徐建成1对1帮扶的各地区家庭困难学生，按时收到了爱心人士徐伯伯捐赠的本年度1对1助学款（含学杂费和生活费等）。祝愿孩子们努力学习，奋发向上，勇攀知识高峰。</w:t>
      </w: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2024年新学年开学前，重庆市潼南区、重庆市垫江县、山西省五台县、河南省开封市等地600余名贫困学生依次收到徐建成董事长1对1打款捐赠的本年度助学金。</w:t>
      </w: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对1帮扶项目源自徐建成董事长对家乡贫困家庭学生的帮扶，为了确保孩子们得到助学金，让家长没有后顾之忧的让孩子完成学业。2005年秋，徐建成董事长回到家乡江苏滨海县，为19名因家庭困难而面临失学的孩子们提供了帮助，目前已有多名家乡学子大学毕业走向工作岗位，成为国家栋梁。从那年起，通过1对1长期帮扶的爱心助学方式逐渐发展为面向全国各地的爱心助学项目，每年都会有很多笔善款依次打入1对1学生家长的账户里。</w:t>
      </w: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2005年至今，绿叶已在全国各省建立12所绿叶小学，6栋徐建成教学楼，1对1帮扶1102名贫困学生，累计帮扶贫困学生3900余名，公益慈善捐赠总额超1.2亿元人民币。</w:t>
      </w: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未来，在徐建成董事长的带领下，绿叶将持续在全国各地推进1对1帮扶助学项目，用爱心点燃孩子们求学的希望，为更多需要帮助的孩子铺就宽广的梦想之路，排忧解难，帮助更多的贫困家庭解决实际困难，努力“不让一个孩子因贫困而失学”，让孩子们都能够在关爱和温暖中健康成长，愿守护一份成长、放飞片片希望。</w:t>
      </w:r>
    </w:p>
    <w:p>
      <w:pPr>
        <w:keepNext w:val="0"/>
        <w:keepLines w:val="0"/>
        <w:pageBreakBefore w:val="0"/>
        <w:widowControl w:val="0"/>
        <w:kinsoku/>
        <w:wordWrap/>
        <w:overflowPunct/>
        <w:topLinePunct w:val="0"/>
        <w:autoSpaceDE/>
        <w:autoSpaceDN/>
        <w:bidi w:val="0"/>
        <w:adjustRightInd/>
        <w:snapToGrid/>
        <w:spacing w:line="50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（来源：绿叶科技集团）</w:t>
      </w:r>
    </w:p>
    <w:sectPr>
      <w:footerReference r:id="rId5" w:type="default"/>
      <w:pgSz w:w="11906" w:h="16838"/>
      <w:pgMar w:top="2239" w:right="1928" w:bottom="2239" w:left="1928" w:header="851" w:footer="1701"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5D5A99"/>
    <w:multiLevelType w:val="singleLevel"/>
    <w:tmpl w:val="0A5D5A99"/>
    <w:lvl w:ilvl="0" w:tentative="0">
      <w:start w:val="1"/>
      <w:numFmt w:val="decimal"/>
      <w:suff w:val="nothing"/>
      <w:lvlText w:val="%1．"/>
      <w:lvlJc w:val="left"/>
    </w:lvl>
  </w:abstractNum>
  <w:abstractNum w:abstractNumId="1">
    <w:nsid w:val="0DDCD511"/>
    <w:multiLevelType w:val="singleLevel"/>
    <w:tmpl w:val="0DDCD511"/>
    <w:lvl w:ilvl="0" w:tentative="0">
      <w:start w:val="1"/>
      <w:numFmt w:val="bullet"/>
      <w:lvlText w:val=""/>
      <w:lvlJc w:val="left"/>
      <w:pPr>
        <w:ind w:left="420" w:hanging="420"/>
      </w:pPr>
      <w:rPr>
        <w:rFonts w:hint="default" w:ascii="Wingdings" w:hAnsi="Wingdings"/>
      </w:rPr>
    </w:lvl>
  </w:abstractNum>
  <w:abstractNum w:abstractNumId="2">
    <w:nsid w:val="469AC4FC"/>
    <w:multiLevelType w:val="singleLevel"/>
    <w:tmpl w:val="469AC4FC"/>
    <w:lvl w:ilvl="0" w:tentative="0">
      <w:start w:val="7"/>
      <w:numFmt w:val="decimal"/>
      <w:suff w:val="nothing"/>
      <w:lvlText w:val="%1、"/>
      <w:lvlJc w:val="left"/>
    </w:lvl>
  </w:abstractNum>
  <w:abstractNum w:abstractNumId="3">
    <w:nsid w:val="4A9A057C"/>
    <w:multiLevelType w:val="multilevel"/>
    <w:tmpl w:val="4A9A057C"/>
    <w:lvl w:ilvl="0" w:tentative="0">
      <w:start w:val="2"/>
      <w:numFmt w:val="chineseCounting"/>
      <w:suff w:val="nothing"/>
      <w:lvlText w:val="（%1）"/>
      <w:lvlJc w:val="left"/>
      <w:rPr>
        <w:rFonts w:hint="default"/>
        <w:u w:val="none" w:color="auto"/>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ZjZDk4NGRmNTUzYTFkYjVlMDNhMTcwYjJiYjg0ODcifQ=="/>
  </w:docVars>
  <w:rsids>
    <w:rsidRoot w:val="51024751"/>
    <w:rsid w:val="0091440B"/>
    <w:rsid w:val="031C69F7"/>
    <w:rsid w:val="04260EF3"/>
    <w:rsid w:val="04CE7DAF"/>
    <w:rsid w:val="06742254"/>
    <w:rsid w:val="09581E0B"/>
    <w:rsid w:val="0AED3477"/>
    <w:rsid w:val="0CC00E35"/>
    <w:rsid w:val="0CF663AE"/>
    <w:rsid w:val="0EC12671"/>
    <w:rsid w:val="0F742064"/>
    <w:rsid w:val="0FC95811"/>
    <w:rsid w:val="12224E20"/>
    <w:rsid w:val="13315BA7"/>
    <w:rsid w:val="14CB20CB"/>
    <w:rsid w:val="161E2FD6"/>
    <w:rsid w:val="188B3FAB"/>
    <w:rsid w:val="1B400E2A"/>
    <w:rsid w:val="1C1B2F7B"/>
    <w:rsid w:val="23621DAC"/>
    <w:rsid w:val="241765E4"/>
    <w:rsid w:val="24E47F1C"/>
    <w:rsid w:val="26B02888"/>
    <w:rsid w:val="273060C7"/>
    <w:rsid w:val="2D946FDF"/>
    <w:rsid w:val="2E525BC1"/>
    <w:rsid w:val="2E775838"/>
    <w:rsid w:val="2F00249E"/>
    <w:rsid w:val="303516E5"/>
    <w:rsid w:val="33677121"/>
    <w:rsid w:val="35DE3860"/>
    <w:rsid w:val="3B954185"/>
    <w:rsid w:val="3F357653"/>
    <w:rsid w:val="404741A6"/>
    <w:rsid w:val="404F0E81"/>
    <w:rsid w:val="4ACE54AE"/>
    <w:rsid w:val="4CDB40C2"/>
    <w:rsid w:val="50FE29F4"/>
    <w:rsid w:val="51024751"/>
    <w:rsid w:val="51D36CC6"/>
    <w:rsid w:val="55A41C2D"/>
    <w:rsid w:val="57593233"/>
    <w:rsid w:val="59281422"/>
    <w:rsid w:val="611F15E5"/>
    <w:rsid w:val="66CD60E6"/>
    <w:rsid w:val="6A122350"/>
    <w:rsid w:val="6E582CCA"/>
    <w:rsid w:val="72473C14"/>
    <w:rsid w:val="74F617DA"/>
    <w:rsid w:val="76475EAC"/>
    <w:rsid w:val="78C53AE4"/>
    <w:rsid w:val="79467FD7"/>
    <w:rsid w:val="794E5500"/>
    <w:rsid w:val="796647E3"/>
    <w:rsid w:val="7ECC7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60" w:lineRule="atLeast"/>
      <w:ind w:firstLine="643" w:firstLineChars="200"/>
      <w:jc w:val="both"/>
    </w:pPr>
    <w:rPr>
      <w:rFonts w:ascii="Calibri" w:hAnsi="Calibri" w:eastAsia="宋体" w:cs="Times New Roman"/>
      <w:kern w:val="2"/>
      <w:sz w:val="24"/>
      <w:szCs w:val="24"/>
      <w:lang w:val="en-US" w:eastAsia="zh-CN" w:bidi="ar-SA"/>
    </w:rPr>
  </w:style>
  <w:style w:type="paragraph" w:styleId="2">
    <w:name w:val="heading 1"/>
    <w:basedOn w:val="1"/>
    <w:next w:val="1"/>
    <w:link w:val="18"/>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00" w:lineRule="exact"/>
      <w:ind w:firstLine="0" w:firstLineChars="0"/>
      <w:outlineLvl w:val="1"/>
    </w:pPr>
    <w:rPr>
      <w:rFonts w:ascii="Arial" w:hAnsi="Arial" w:eastAsia="宋体"/>
      <w:b/>
      <w:sz w:val="24"/>
    </w:rPr>
  </w:style>
  <w:style w:type="paragraph" w:styleId="4">
    <w:name w:val="heading 3"/>
    <w:basedOn w:val="1"/>
    <w:next w:val="1"/>
    <w:semiHidden/>
    <w:unhideWhenUsed/>
    <w:qFormat/>
    <w:uiPriority w:val="0"/>
    <w:pPr>
      <w:spacing w:before="100" w:beforeAutospacing="1" w:after="100" w:afterAutospacing="1"/>
      <w:jc w:val="left"/>
      <w:outlineLvl w:val="2"/>
    </w:pPr>
    <w:rPr>
      <w:rFonts w:hint="eastAsia" w:ascii="宋体" w:hAnsi="宋体" w:eastAsia="楷体" w:cs="宋体"/>
      <w:b/>
      <w:bCs/>
      <w:kern w:val="0"/>
      <w:sz w:val="21"/>
      <w:szCs w:val="27"/>
      <w:lang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Hyperlink"/>
    <w:basedOn w:val="9"/>
    <w:uiPriority w:val="0"/>
    <w:rPr>
      <w:color w:val="0000FF"/>
      <w:u w:val="single"/>
    </w:rPr>
  </w:style>
  <w:style w:type="paragraph" w:customStyle="1" w:styleId="12">
    <w:name w:val="苏州日化"/>
    <w:basedOn w:val="1"/>
    <w:qFormat/>
    <w:uiPriority w:val="0"/>
    <w:pPr>
      <w:spacing w:line="460" w:lineRule="atLeast"/>
      <w:ind w:firstLine="720" w:firstLineChars="200"/>
    </w:pPr>
    <w:rPr>
      <w:rFonts w:ascii="宋体" w:hAnsi="宋体" w:cstheme="minorBidi"/>
      <w:sz w:val="24"/>
    </w:rPr>
  </w:style>
  <w:style w:type="paragraph" w:customStyle="1" w:styleId="13">
    <w:name w:val="黑体标题"/>
    <w:basedOn w:val="1"/>
    <w:qFormat/>
    <w:uiPriority w:val="0"/>
    <w:pPr>
      <w:spacing w:line="360" w:lineRule="auto"/>
      <w:jc w:val="center"/>
    </w:pPr>
    <w:rPr>
      <w:rFonts w:eastAsia="黑体" w:asciiTheme="minorAscii" w:hAnsiTheme="minorAscii" w:cstheme="minorBidi"/>
      <w:sz w:val="36"/>
    </w:rPr>
  </w:style>
  <w:style w:type="paragraph" w:customStyle="1" w:styleId="14">
    <w:name w:val="论文题目"/>
    <w:basedOn w:val="1"/>
    <w:qFormat/>
    <w:uiPriority w:val="0"/>
    <w:pPr>
      <w:spacing w:line="360" w:lineRule="auto"/>
      <w:jc w:val="center"/>
    </w:pPr>
    <w:rPr>
      <w:rFonts w:hint="eastAsia" w:ascii="宋体" w:hAnsi="宋体" w:eastAsia="宋体" w:cs="宋体"/>
      <w:b/>
      <w:bCs/>
      <w:sz w:val="32"/>
      <w:szCs w:val="32"/>
    </w:rPr>
  </w:style>
  <w:style w:type="paragraph" w:customStyle="1" w:styleId="15">
    <w:name w:val="参考文献"/>
    <w:basedOn w:val="1"/>
    <w:qFormat/>
    <w:uiPriority w:val="0"/>
    <w:pPr>
      <w:spacing w:line="360" w:lineRule="auto"/>
      <w:ind w:firstLine="0" w:firstLineChars="0"/>
    </w:pPr>
    <w:rPr>
      <w:rFonts w:hint="eastAsia" w:ascii="宋体" w:hAnsi="宋体" w:cs="宋体"/>
      <w:sz w:val="18"/>
    </w:rPr>
  </w:style>
  <w:style w:type="paragraph" w:customStyle="1" w:styleId="16">
    <w:name w:val="作者"/>
    <w:basedOn w:val="1"/>
    <w:qFormat/>
    <w:uiPriority w:val="0"/>
    <w:pPr>
      <w:spacing w:line="360" w:lineRule="auto"/>
      <w:ind w:firstLine="0" w:firstLineChars="0"/>
      <w:jc w:val="center"/>
    </w:pPr>
    <w:rPr>
      <w:rFonts w:hint="eastAsia" w:ascii="宋体" w:hAnsi="宋体" w:cs="宋体"/>
      <w:b/>
      <w:sz w:val="24"/>
    </w:rPr>
  </w:style>
  <w:style w:type="paragraph" w:customStyle="1" w:styleId="17">
    <w:name w:val="摘要关键词"/>
    <w:basedOn w:val="1"/>
    <w:qFormat/>
    <w:uiPriority w:val="0"/>
    <w:pPr>
      <w:spacing w:line="360" w:lineRule="auto"/>
      <w:ind w:firstLine="643" w:firstLineChars="200"/>
      <w:jc w:val="left"/>
    </w:pPr>
    <w:rPr>
      <w:rFonts w:hint="eastAsia" w:ascii="宋体" w:hAnsi="宋体" w:eastAsia="楷体" w:cs="宋体"/>
      <w:sz w:val="18"/>
    </w:rPr>
  </w:style>
  <w:style w:type="character" w:customStyle="1" w:styleId="18">
    <w:name w:val="标题 1 Char"/>
    <w:link w:val="2"/>
    <w:qFormat/>
    <w:uiPriority w:val="0"/>
    <w:rPr>
      <w:rFonts w:eastAsia="宋体"/>
      <w:b/>
      <w:kern w:val="44"/>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webp"/><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17733</Words>
  <Characters>19101</Characters>
  <Lines>0</Lines>
  <Paragraphs>0</Paragraphs>
  <TotalTime>0</TotalTime>
  <ScaleCrop>false</ScaleCrop>
  <LinksUpToDate>false</LinksUpToDate>
  <CharactersWithSpaces>19231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2024-09-13T02:26:00Z</dcterms:created>
  <dc:creator>苏州市日用化学品行业协会</dc:creator>
  <cp:lastModifiedBy>苏州市日用化学品行业协会</cp:lastModifiedBy>
  <dcterms:modified xsi:type="dcterms:W3CDTF">2024-09-18T06:06:19Z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9E7A00DE343E422DB2B3649B9B3F11EE_13</vt:lpwstr>
  </property>
</Properties>
</file>